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43AA60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AB7127">
        <w:t>7</w:t>
      </w:r>
      <w:r w:rsidRPr="00CE0424">
        <w:tab/>
      </w:r>
      <w:proofErr w:type="spellStart"/>
      <w:r w:rsidRPr="00F26A59">
        <w:rPr>
          <w:sz w:val="32"/>
          <w:szCs w:val="32"/>
        </w:rPr>
        <w:t>Tdoc</w:t>
      </w:r>
      <w:proofErr w:type="spellEnd"/>
      <w:r w:rsidRPr="00F26A59">
        <w:rPr>
          <w:sz w:val="32"/>
          <w:szCs w:val="32"/>
        </w:rPr>
        <w:t xml:space="preserve"> </w:t>
      </w:r>
      <w:r w:rsidR="00091557" w:rsidRPr="00F26A59">
        <w:rPr>
          <w:sz w:val="32"/>
          <w:szCs w:val="32"/>
        </w:rPr>
        <w:t>R</w:t>
      </w:r>
      <w:r w:rsidR="008F1C4E" w:rsidRPr="00F26A59">
        <w:rPr>
          <w:sz w:val="32"/>
          <w:szCs w:val="32"/>
        </w:rPr>
        <w:t>1</w:t>
      </w:r>
      <w:r w:rsidR="00091557" w:rsidRPr="00F26A59">
        <w:rPr>
          <w:sz w:val="32"/>
          <w:szCs w:val="32"/>
        </w:rPr>
        <w:t>-</w:t>
      </w:r>
      <w:r w:rsidR="005F3025" w:rsidRPr="00F26A59">
        <w:rPr>
          <w:sz w:val="32"/>
          <w:szCs w:val="32"/>
        </w:rPr>
        <w:t>1</w:t>
      </w:r>
      <w:r w:rsidR="00044F46" w:rsidRPr="00F26A59">
        <w:rPr>
          <w:sz w:val="32"/>
          <w:szCs w:val="32"/>
        </w:rPr>
        <w:t>9</w:t>
      </w:r>
      <w:r w:rsidR="00AF78B5" w:rsidRPr="00F26A59">
        <w:rPr>
          <w:sz w:val="32"/>
          <w:szCs w:val="32"/>
        </w:rPr>
        <w:t>0</w:t>
      </w:r>
      <w:r w:rsidR="00F26A59" w:rsidRPr="00F26A59">
        <w:rPr>
          <w:sz w:val="32"/>
          <w:szCs w:val="32"/>
        </w:rPr>
        <w:t>7434</w:t>
      </w:r>
    </w:p>
    <w:p w14:paraId="3ACB3370" w14:textId="77777777" w:rsidR="00AB7127" w:rsidRPr="00AB7127" w:rsidRDefault="00AB7127" w:rsidP="00AB7127">
      <w:pPr>
        <w:tabs>
          <w:tab w:val="center" w:pos="4536"/>
          <w:tab w:val="right" w:pos="9072"/>
        </w:tabs>
        <w:rPr>
          <w:rFonts w:ascii="Arial" w:eastAsia="MS Mincho" w:hAnsi="Arial" w:cs="Arial"/>
          <w:b/>
          <w:bCs/>
          <w:sz w:val="24"/>
        </w:rPr>
      </w:pPr>
      <w:r w:rsidRPr="00AB7127">
        <w:rPr>
          <w:rFonts w:ascii="Arial" w:eastAsia="MS Mincho" w:hAnsi="Arial" w:cs="Arial"/>
          <w:b/>
          <w:bCs/>
          <w:sz w:val="24"/>
        </w:rPr>
        <w:t>Reno, USA, May 13</w:t>
      </w:r>
      <w:r w:rsidRPr="00AB7127">
        <w:rPr>
          <w:rFonts w:ascii="Arial" w:eastAsia="MS Mincho" w:hAnsi="Arial" w:cs="Arial"/>
          <w:b/>
          <w:bCs/>
          <w:sz w:val="24"/>
          <w:vertAlign w:val="superscript"/>
        </w:rPr>
        <w:t>th</w:t>
      </w:r>
      <w:r w:rsidRPr="00AB7127">
        <w:rPr>
          <w:rFonts w:ascii="Arial" w:eastAsia="MS Mincho" w:hAnsi="Arial" w:cs="Arial"/>
          <w:b/>
          <w:bCs/>
          <w:sz w:val="24"/>
        </w:rPr>
        <w:t xml:space="preserve"> – 17</w:t>
      </w:r>
      <w:r w:rsidRPr="00AB7127">
        <w:rPr>
          <w:rFonts w:ascii="Arial" w:eastAsia="MS Mincho" w:hAnsi="Arial" w:cs="Arial"/>
          <w:b/>
          <w:bCs/>
          <w:sz w:val="24"/>
          <w:vertAlign w:val="superscript"/>
        </w:rPr>
        <w:t>th</w:t>
      </w:r>
      <w:r w:rsidRPr="00AB7127">
        <w:rPr>
          <w:rFonts w:ascii="Arial" w:eastAsia="MS Mincho" w:hAnsi="Arial" w:cs="Arial"/>
          <w:b/>
          <w:bCs/>
          <w:sz w:val="24"/>
        </w:rPr>
        <w:t>, 2019</w:t>
      </w:r>
    </w:p>
    <w:p w14:paraId="4BC66F81" w14:textId="59AF4198"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AF78B5">
        <w:rPr>
          <w:sz w:val="22"/>
          <w:szCs w:val="22"/>
          <w:lang w:val="en-US"/>
        </w:rPr>
        <w:t>7.2.</w:t>
      </w:r>
      <w:r w:rsidR="00CF191C" w:rsidRPr="00AF78B5">
        <w:rPr>
          <w:sz w:val="22"/>
          <w:szCs w:val="22"/>
          <w:lang w:val="en-US"/>
        </w:rPr>
        <w:t>12.</w:t>
      </w:r>
      <w:r w:rsidR="007B19EE" w:rsidRPr="00AF78B5">
        <w:rPr>
          <w:sz w:val="22"/>
          <w:szCs w:val="22"/>
          <w:lang w:val="en-US"/>
        </w:rPr>
        <w:t>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5B4F0E81" w:rsidR="00E90E49" w:rsidRPr="00CE0424" w:rsidRDefault="003D3C45" w:rsidP="00311702">
      <w:pPr>
        <w:pStyle w:val="3GPPHeader"/>
        <w:rPr>
          <w:sz w:val="22"/>
          <w:szCs w:val="22"/>
        </w:rPr>
      </w:pPr>
      <w:r>
        <w:rPr>
          <w:sz w:val="22"/>
          <w:szCs w:val="22"/>
        </w:rPr>
        <w:t>Title:</w:t>
      </w:r>
      <w:r w:rsidR="00E90E49" w:rsidRPr="00CE0424">
        <w:rPr>
          <w:sz w:val="22"/>
          <w:szCs w:val="22"/>
        </w:rPr>
        <w:tab/>
      </w:r>
      <w:r w:rsidR="00636A94">
        <w:t>Physical Layer Aspects for Mobility Enhancements</w:t>
      </w:r>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7000E598" w14:textId="77777777" w:rsidR="00CF2719" w:rsidRDefault="00CF2719" w:rsidP="00CF2719">
      <w:pPr>
        <w:pStyle w:val="BodyText"/>
      </w:pPr>
      <w:r>
        <w:t>In RAN1#96, the following conclusion was made:</w:t>
      </w:r>
    </w:p>
    <w:p w14:paraId="6D74DB32" w14:textId="77777777" w:rsidR="00CF2719" w:rsidRDefault="00CF2719" w:rsidP="00CF2719">
      <w:pPr>
        <w:pStyle w:val="BodyText"/>
      </w:pPr>
      <w:r>
        <w:rPr>
          <w:noProof/>
        </w:rPr>
        <mc:AlternateContent>
          <mc:Choice Requires="wps">
            <w:drawing>
              <wp:inline distT="0" distB="0" distL="0" distR="0" wp14:anchorId="1764E443" wp14:editId="14959065">
                <wp:extent cx="6143625" cy="2057400"/>
                <wp:effectExtent l="0" t="0" r="28575" b="22860"/>
                <wp:docPr id="1" name="Text Box 1"/>
                <wp:cNvGraphicFramePr/>
                <a:graphic xmlns:a="http://schemas.openxmlformats.org/drawingml/2006/main">
                  <a:graphicData uri="http://schemas.microsoft.com/office/word/2010/wordprocessingShape">
                    <wps:wsp>
                      <wps:cNvSpPr txBox="1"/>
                      <wps:spPr>
                        <a:xfrm>
                          <a:off x="0" y="0"/>
                          <a:ext cx="6143625" cy="2057400"/>
                        </a:xfrm>
                        <a:prstGeom prst="rect">
                          <a:avLst/>
                        </a:prstGeom>
                        <a:solidFill>
                          <a:schemeClr val="lt1"/>
                        </a:solidFill>
                        <a:ln w="6350">
                          <a:solidFill>
                            <a:prstClr val="black"/>
                          </a:solidFill>
                        </a:ln>
                      </wps:spPr>
                      <wps:txbx>
                        <w:txbxContent>
                          <w:p w14:paraId="1DBB845F" w14:textId="77777777" w:rsidR="008F18D7" w:rsidRPr="00B65FCB" w:rsidRDefault="008F18D7" w:rsidP="00CF2719">
                            <w:pPr>
                              <w:rPr>
                                <w:b/>
                                <w:lang w:eastAsia="x-none"/>
                              </w:rPr>
                            </w:pPr>
                            <w:r w:rsidRPr="00B65FCB">
                              <w:rPr>
                                <w:b/>
                                <w:u w:val="single"/>
                                <w:lang w:eastAsia="x-none"/>
                              </w:rPr>
                              <w:t>Conclusion</w:t>
                            </w:r>
                            <w:r w:rsidRPr="00B65FCB">
                              <w:rPr>
                                <w:b/>
                                <w:lang w:eastAsia="x-none"/>
                              </w:rPr>
                              <w:t>:</w:t>
                            </w:r>
                          </w:p>
                          <w:p w14:paraId="3DD1E99C" w14:textId="77777777" w:rsidR="008F18D7" w:rsidRPr="00B65FCB" w:rsidRDefault="008F18D7" w:rsidP="00CF2719">
                            <w:r w:rsidRPr="00B65FCB">
                              <w:t>The following physical layer aspects for mobility enhancements have been identified in RAN1#96 and are to be further studied (but not limited to):</w:t>
                            </w:r>
                          </w:p>
                          <w:p w14:paraId="38FBC8E2" w14:textId="77777777" w:rsidR="008F18D7" w:rsidRPr="00FB5852" w:rsidRDefault="008F18D7"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RACH-less HO</w:t>
                            </w:r>
                          </w:p>
                          <w:p w14:paraId="2E565D52"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TA for target cell (if applicable)</w:t>
                            </w:r>
                          </w:p>
                          <w:p w14:paraId="4246D6C0"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Power control for PUSCH for the target cell</w:t>
                            </w:r>
                          </w:p>
                          <w:p w14:paraId="32A953ED"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UL grants configuration </w:t>
                            </w:r>
                          </w:p>
                          <w:p w14:paraId="25056C36"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Tx/Rx beam related aspects</w:t>
                            </w:r>
                          </w:p>
                          <w:p w14:paraId="5C152789"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PUSCH transmission aspects (e.g. repetition, etc.)</w:t>
                            </w:r>
                          </w:p>
                          <w:p w14:paraId="329A9D65" w14:textId="77777777" w:rsidR="008F18D7" w:rsidRPr="00FB5852" w:rsidRDefault="008F18D7"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dual connectivity (DC) based HO</w:t>
                            </w:r>
                          </w:p>
                          <w:p w14:paraId="7094F15F"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Feasibility/applicability (with respect to various Tx/Rx RF capability and carrier frequencies of source/target cell)</w:t>
                            </w:r>
                          </w:p>
                          <w:p w14:paraId="1CFCC6DF"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PDCCH monitoring for source and target cells.</w:t>
                            </w:r>
                          </w:p>
                          <w:p w14:paraId="28660825"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Procedures related to DL/UL operation</w:t>
                            </w:r>
                          </w:p>
                          <w:p w14:paraId="6D533095"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Power control for PUSCH/PUCCH/SRS </w:t>
                            </w:r>
                          </w:p>
                          <w:p w14:paraId="2B7BA65D"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Tx/Rx beam related aspects </w:t>
                            </w:r>
                          </w:p>
                          <w:p w14:paraId="41A9F65B"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Note: this may interact with multi-TRP discussion in Rel-16 eMIMO</w:t>
                            </w:r>
                          </w:p>
                          <w:p w14:paraId="305CE038" w14:textId="77777777" w:rsidR="008F18D7" w:rsidRPr="00FB5852" w:rsidRDefault="008F18D7"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Make-before-break (MBB) related to 0ms HO interruption latency (if supported)</w:t>
                            </w:r>
                          </w:p>
                          <w:p w14:paraId="7612920B" w14:textId="77777777" w:rsidR="008F18D7" w:rsidRPr="00FB5852" w:rsidRDefault="008F18D7" w:rsidP="00CF2719">
                            <w:pPr>
                              <w:numPr>
                                <w:ilvl w:val="1"/>
                                <w:numId w:val="23"/>
                              </w:numPr>
                              <w:overflowPunct/>
                              <w:autoSpaceDE/>
                              <w:autoSpaceDN/>
                              <w:adjustRightInd/>
                              <w:spacing w:after="0"/>
                              <w:textAlignment w:val="auto"/>
                              <w:rPr>
                                <w:bCs/>
                                <w:lang w:eastAsia="zh-CN"/>
                              </w:rPr>
                            </w:pPr>
                            <w:r w:rsidRPr="00FB5852">
                              <w:rPr>
                                <w:bCs/>
                                <w:lang w:eastAsia="zh-CN"/>
                              </w:rPr>
                              <w:t xml:space="preserve">If supported, </w:t>
                            </w:r>
                            <w:proofErr w:type="gramStart"/>
                            <w:r w:rsidRPr="00FB5852">
                              <w:rPr>
                                <w:bCs/>
                                <w:lang w:eastAsia="zh-CN"/>
                              </w:rPr>
                              <w:t>whether or not</w:t>
                            </w:r>
                            <w:proofErr w:type="gramEnd"/>
                            <w:r w:rsidRPr="00FB5852">
                              <w:rPr>
                                <w:bCs/>
                                <w:lang w:eastAsia="zh-CN"/>
                              </w:rPr>
                              <w:t xml:space="preserve"> PHY impacts are similar/the same to those under dual connectivity (DC) based HO</w:t>
                            </w:r>
                          </w:p>
                          <w:p w14:paraId="417997B2" w14:textId="77777777" w:rsidR="008F18D7" w:rsidRPr="00FB5852" w:rsidRDefault="008F18D7"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solutions/enhancements that are not explicitly mentioned in the WID</w:t>
                            </w:r>
                          </w:p>
                          <w:p w14:paraId="70BD707C"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Measurement procedure to provide low latency reports (e.g. L1 based measurements)</w:t>
                            </w:r>
                          </w:p>
                          <w:p w14:paraId="2E9149AC"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Methods of conveying QCL information for target cell (e.g. MAC CE based indication of QCL information for target cell)</w:t>
                            </w:r>
                          </w:p>
                          <w:p w14:paraId="16C41272"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Link recovery on non-serving cells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764E443" id="_x0000_t202" coordsize="21600,21600" o:spt="202" path="m,l,21600r21600,l21600,xe">
                <v:stroke joinstyle="miter"/>
                <v:path gradientshapeok="t" o:connecttype="rect"/>
              </v:shapetype>
              <v:shape id="Text Box 1" o:spid="_x0000_s1026" type="#_x0000_t202" style="width:483.7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" fillcolor="white [3201]" strokeweight=".5pt">
                <v:textbox style="mso-fit-shape-to-text:t">
                  <w:txbxContent>
                    <w:p w14:paraId="1DBB845F" w14:textId="77777777" w:rsidR="008F18D7" w:rsidRPr="00B65FCB" w:rsidRDefault="008F18D7" w:rsidP="00CF2719">
                      <w:pPr>
                        <w:rPr>
                          <w:b/>
                          <w:lang w:eastAsia="x-none"/>
                        </w:rPr>
                      </w:pPr>
                      <w:r w:rsidRPr="00B65FCB">
                        <w:rPr>
                          <w:b/>
                          <w:u w:val="single"/>
                          <w:lang w:eastAsia="x-none"/>
                        </w:rPr>
                        <w:t>Conclusion</w:t>
                      </w:r>
                      <w:r w:rsidRPr="00B65FCB">
                        <w:rPr>
                          <w:b/>
                          <w:lang w:eastAsia="x-none"/>
                        </w:rPr>
                        <w:t>:</w:t>
                      </w:r>
                    </w:p>
                    <w:p w14:paraId="3DD1E99C" w14:textId="77777777" w:rsidR="008F18D7" w:rsidRPr="00B65FCB" w:rsidRDefault="008F18D7" w:rsidP="00CF2719">
                      <w:r w:rsidRPr="00B65FCB">
                        <w:t>The following physical layer aspects for mobility enhancements have been identified in RAN1#96 and are to be further studied (but not limited to):</w:t>
                      </w:r>
                    </w:p>
                    <w:p w14:paraId="38FBC8E2" w14:textId="77777777" w:rsidR="008F18D7" w:rsidRPr="00FB5852" w:rsidRDefault="008F18D7"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RACH-less HO</w:t>
                      </w:r>
                    </w:p>
                    <w:p w14:paraId="2E565D52"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TA for target cell (if applicable)</w:t>
                      </w:r>
                    </w:p>
                    <w:p w14:paraId="4246D6C0"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Power control for PUSCH for the target cell</w:t>
                      </w:r>
                    </w:p>
                    <w:p w14:paraId="32A953ED"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UL grants configuration </w:t>
                      </w:r>
                    </w:p>
                    <w:p w14:paraId="25056C36"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Tx/Rx beam related aspects</w:t>
                      </w:r>
                    </w:p>
                    <w:p w14:paraId="5C152789"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PUSCH transmission aspects (e.g. repetition, etc.)</w:t>
                      </w:r>
                    </w:p>
                    <w:p w14:paraId="329A9D65" w14:textId="77777777" w:rsidR="008F18D7" w:rsidRPr="00FB5852" w:rsidRDefault="008F18D7"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dual connectivity (DC) based HO</w:t>
                      </w:r>
                    </w:p>
                    <w:p w14:paraId="7094F15F"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Feasibility/applicability (with respect to various Tx/Rx RF capability and carrier frequencies of source/target cell)</w:t>
                      </w:r>
                    </w:p>
                    <w:p w14:paraId="1CFCC6DF"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PDCCH monitoring for source and target cells.</w:t>
                      </w:r>
                    </w:p>
                    <w:p w14:paraId="28660825"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Procedures related to DL/UL operation</w:t>
                      </w:r>
                    </w:p>
                    <w:p w14:paraId="6D533095"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Power control for PUSCH/PUCCH/SRS </w:t>
                      </w:r>
                    </w:p>
                    <w:p w14:paraId="2B7BA65D"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Tx/Rx beam related aspects </w:t>
                      </w:r>
                    </w:p>
                    <w:p w14:paraId="41A9F65B"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Note: this may interact with multi-TRP discussion in Rel-16 eMIMO</w:t>
                      </w:r>
                    </w:p>
                    <w:p w14:paraId="305CE038" w14:textId="77777777" w:rsidR="008F18D7" w:rsidRPr="00FB5852" w:rsidRDefault="008F18D7"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Make-before-break (MBB) related to 0ms HO interruption latency (if supported)</w:t>
                      </w:r>
                    </w:p>
                    <w:p w14:paraId="7612920B" w14:textId="77777777" w:rsidR="008F18D7" w:rsidRPr="00FB5852" w:rsidRDefault="008F18D7" w:rsidP="00CF2719">
                      <w:pPr>
                        <w:numPr>
                          <w:ilvl w:val="1"/>
                          <w:numId w:val="23"/>
                        </w:numPr>
                        <w:overflowPunct/>
                        <w:autoSpaceDE/>
                        <w:autoSpaceDN/>
                        <w:adjustRightInd/>
                        <w:spacing w:after="0"/>
                        <w:textAlignment w:val="auto"/>
                        <w:rPr>
                          <w:bCs/>
                          <w:lang w:eastAsia="zh-CN"/>
                        </w:rPr>
                      </w:pPr>
                      <w:r w:rsidRPr="00FB5852">
                        <w:rPr>
                          <w:bCs/>
                          <w:lang w:eastAsia="zh-CN"/>
                        </w:rPr>
                        <w:t xml:space="preserve">If supported, </w:t>
                      </w:r>
                      <w:proofErr w:type="gramStart"/>
                      <w:r w:rsidRPr="00FB5852">
                        <w:rPr>
                          <w:bCs/>
                          <w:lang w:eastAsia="zh-CN"/>
                        </w:rPr>
                        <w:t>whether or not</w:t>
                      </w:r>
                      <w:proofErr w:type="gramEnd"/>
                      <w:r w:rsidRPr="00FB5852">
                        <w:rPr>
                          <w:bCs/>
                          <w:lang w:eastAsia="zh-CN"/>
                        </w:rPr>
                        <w:t xml:space="preserve"> PHY impacts are similar/the same to those under dual connectivity (DC) based HO</w:t>
                      </w:r>
                    </w:p>
                    <w:p w14:paraId="417997B2" w14:textId="77777777" w:rsidR="008F18D7" w:rsidRPr="00FB5852" w:rsidRDefault="008F18D7"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solutions/enhancements that are not explicitly mentioned in the WID</w:t>
                      </w:r>
                    </w:p>
                    <w:p w14:paraId="70BD707C"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Measurement procedure to provide low latency reports (e.g. L1 based measurements)</w:t>
                      </w:r>
                    </w:p>
                    <w:p w14:paraId="2E9149AC"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Methods of conveying QCL information for target cell (e.g. MAC CE based indication of QCL information for target cell)</w:t>
                      </w:r>
                    </w:p>
                    <w:p w14:paraId="16C41272" w14:textId="77777777" w:rsidR="008F18D7" w:rsidRPr="00FB5852" w:rsidRDefault="008F18D7"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Link recovery on non-serving cells</w:t>
                      </w:r>
                    </w:p>
                  </w:txbxContent>
                </v:textbox>
                <w10:anchorlock/>
              </v:shape>
            </w:pict>
          </mc:Fallback>
        </mc:AlternateContent>
      </w:r>
    </w:p>
    <w:p w14:paraId="32A6C0D7" w14:textId="78CD395F" w:rsidR="00477768" w:rsidRPr="00CE0424" w:rsidRDefault="00CF2719" w:rsidP="00CE0424">
      <w:pPr>
        <w:pStyle w:val="BodyText"/>
      </w:pPr>
      <w:r>
        <w:t xml:space="preserve">In this contribution, we discuss </w:t>
      </w:r>
      <w:r w:rsidR="00521169">
        <w:t xml:space="preserve">all the above </w:t>
      </w:r>
      <w:r>
        <w:t xml:space="preserve">physical layer aspects </w:t>
      </w:r>
      <w:r w:rsidR="00521169">
        <w:t>for mobility enhancements.</w:t>
      </w:r>
      <w:r w:rsidR="00644F4E">
        <w:t xml:space="preserve"> We also discuss the possibility to perform early CSI reporting during handover.</w:t>
      </w:r>
    </w:p>
    <w:p w14:paraId="4240D1DF" w14:textId="05649632" w:rsidR="004000E8" w:rsidRDefault="00230D18" w:rsidP="00CE0424">
      <w:pPr>
        <w:pStyle w:val="Heading1"/>
      </w:pPr>
      <w:bookmarkStart w:id="0" w:name="_Ref178064866"/>
      <w:r>
        <w:t>2</w:t>
      </w:r>
      <w:r>
        <w:tab/>
      </w:r>
      <w:r w:rsidR="004000E8" w:rsidRPr="00CE0424">
        <w:t>Discussion</w:t>
      </w:r>
      <w:bookmarkEnd w:id="0"/>
    </w:p>
    <w:p w14:paraId="7EE2C25E" w14:textId="31A44A29" w:rsidR="00521169" w:rsidRPr="00521169" w:rsidRDefault="00521169" w:rsidP="00521169">
      <w:pPr>
        <w:pStyle w:val="BodyText"/>
      </w:pPr>
    </w:p>
    <w:p w14:paraId="4BC022B7" w14:textId="082ECE61" w:rsidR="00F63950" w:rsidRDefault="00230D18" w:rsidP="00F63950">
      <w:pPr>
        <w:pStyle w:val="Heading2"/>
      </w:pPr>
      <w:r>
        <w:lastRenderedPageBreak/>
        <w:t>2.1</w:t>
      </w:r>
      <w:r>
        <w:tab/>
      </w:r>
      <w:r w:rsidR="00521169">
        <w:t>Physical layer aspects of RACH-less HO</w:t>
      </w:r>
    </w:p>
    <w:p w14:paraId="2D93D397" w14:textId="77777777" w:rsidR="00521169" w:rsidRDefault="00521169" w:rsidP="00521169">
      <w:pPr>
        <w:pStyle w:val="BodyText"/>
      </w:pPr>
      <w:r>
        <w:t xml:space="preserve">In normal handover, the network uses Msg1 for derive a new timing advance, </w:t>
      </w:r>
      <w:proofErr w:type="gramStart"/>
      <w:r>
        <w:t>and also</w:t>
      </w:r>
      <w:proofErr w:type="gramEnd"/>
      <w:r>
        <w:t xml:space="preserve"> to determine the Tx beam for Msg2 and subsequent downlink transmissions. Msg2 contains the UL grant for Msg3 </w:t>
      </w:r>
      <w:proofErr w:type="gramStart"/>
      <w:r>
        <w:t>and also</w:t>
      </w:r>
      <w:proofErr w:type="gramEnd"/>
      <w:r>
        <w:t xml:space="preserve"> a new timing advance value.</w:t>
      </w:r>
    </w:p>
    <w:p w14:paraId="1B291E2D" w14:textId="7334B94A" w:rsidR="00521169" w:rsidRDefault="00521169" w:rsidP="00521169">
      <w:pPr>
        <w:pStyle w:val="BodyText"/>
      </w:pPr>
      <w:r>
        <w:t xml:space="preserve">In RACH-less HO/SCG change, Msg1 and Msg2 in the target cell are skipped. Instead, the first transmission in the target cell is Msg3. The signalling diagram for RACH-less HO is depicted in </w:t>
      </w:r>
      <w:r>
        <w:fldChar w:fldCharType="begin"/>
      </w:r>
      <w:r>
        <w:instrText xml:space="preserve"> REF _Ref4485206 \h </w:instrText>
      </w:r>
      <w:r>
        <w:fldChar w:fldCharType="separate"/>
      </w:r>
      <w:r w:rsidR="00484C75" w:rsidRPr="00CE0424">
        <w:t xml:space="preserve">Figure </w:t>
      </w:r>
      <w:r w:rsidR="00484C75">
        <w:rPr>
          <w:noProof/>
        </w:rPr>
        <w:t>1</w:t>
      </w:r>
      <w:r>
        <w:fldChar w:fldCharType="end"/>
      </w:r>
      <w:r>
        <w:t>. RACH-less HO was standardized for LTE in Rel-14.</w:t>
      </w:r>
    </w:p>
    <w:p w14:paraId="1377616B" w14:textId="77777777" w:rsidR="00521169" w:rsidRDefault="00521169" w:rsidP="00521169">
      <w:pPr>
        <w:pStyle w:val="TH"/>
      </w:pPr>
      <w:r>
        <w:rPr>
          <w:noProof/>
        </w:rPr>
        <w:drawing>
          <wp:inline distT="0" distB="0" distL="0" distR="0" wp14:anchorId="03013A8D" wp14:editId="612FE4AC">
            <wp:extent cx="5261304" cy="4779678"/>
            <wp:effectExtent l="0" t="0" r="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rach-less HO.png"/>
                    <pic:cNvPicPr/>
                  </pic:nvPicPr>
                  <pic:blipFill>
                    <a:blip r:embed="rId11">
                      <a:extLst>
                        <a:ext uri="{28A0092B-C50C-407E-A947-70E740481C1C}">
                          <a14:useLocalDpi xmlns:a14="http://schemas.microsoft.com/office/drawing/2010/main" val="0"/>
                        </a:ext>
                      </a:extLst>
                    </a:blip>
                    <a:stretch>
                      <a:fillRect/>
                    </a:stretch>
                  </pic:blipFill>
                  <pic:spPr>
                    <a:xfrm>
                      <a:off x="0" y="0"/>
                      <a:ext cx="5261304" cy="4779678"/>
                    </a:xfrm>
                    <a:prstGeom prst="rect">
                      <a:avLst/>
                    </a:prstGeom>
                  </pic:spPr>
                </pic:pic>
              </a:graphicData>
            </a:graphic>
          </wp:inline>
        </w:drawing>
      </w:r>
    </w:p>
    <w:p w14:paraId="65E0FAC5" w14:textId="7BCA9488" w:rsidR="00521169" w:rsidRPr="00E85ADD" w:rsidRDefault="00521169" w:rsidP="00521169">
      <w:pPr>
        <w:pStyle w:val="TF"/>
        <w:rPr>
          <w:lang w:val="en-US"/>
        </w:rPr>
      </w:pPr>
      <w:bookmarkStart w:id="1" w:name="_Ref4485206"/>
      <w:r w:rsidRPr="00CE0424">
        <w:t xml:space="preserve">Figure </w:t>
      </w:r>
      <w:r>
        <w:rPr>
          <w:noProof/>
        </w:rPr>
        <w:fldChar w:fldCharType="begin"/>
      </w:r>
      <w:r>
        <w:rPr>
          <w:noProof/>
        </w:rPr>
        <w:instrText xml:space="preserve"> SEQ Figure \* ARABIC </w:instrText>
      </w:r>
      <w:r>
        <w:rPr>
          <w:noProof/>
        </w:rPr>
        <w:fldChar w:fldCharType="separate"/>
      </w:r>
      <w:r w:rsidR="00484C75">
        <w:rPr>
          <w:noProof/>
        </w:rPr>
        <w:t>1</w:t>
      </w:r>
      <w:r>
        <w:rPr>
          <w:noProof/>
        </w:rPr>
        <w:fldChar w:fldCharType="end"/>
      </w:r>
      <w:bookmarkEnd w:id="1"/>
      <w:r w:rsidRPr="00CE0424">
        <w:t xml:space="preserve">: </w:t>
      </w:r>
      <w:r w:rsidRPr="00E85ADD">
        <w:rPr>
          <w:lang w:val="en-US"/>
        </w:rPr>
        <w:t xml:space="preserve">RACH-less handover. The first message in the target cell is </w:t>
      </w:r>
      <w:r>
        <w:rPr>
          <w:lang w:val="en-US"/>
        </w:rPr>
        <w:t>Msg3.</w:t>
      </w:r>
    </w:p>
    <w:p w14:paraId="5D5BA092" w14:textId="5128CDC8" w:rsidR="00BC0C8C" w:rsidRPr="00BC0C8C" w:rsidRDefault="00BC0C8C" w:rsidP="00BC0C8C">
      <w:pPr>
        <w:pStyle w:val="Heading3"/>
      </w:pPr>
      <w:r>
        <w:t>2.1.1</w:t>
      </w:r>
      <w:r>
        <w:tab/>
      </w:r>
      <w:r w:rsidRPr="00B65FCB">
        <w:t>T</w:t>
      </w:r>
      <w:r>
        <w:t xml:space="preserve">iming advance </w:t>
      </w:r>
      <w:r w:rsidRPr="00B65FCB">
        <w:t>for target cell</w:t>
      </w:r>
    </w:p>
    <w:p w14:paraId="1977293A" w14:textId="64CAC694" w:rsidR="007C4C4E" w:rsidRDefault="00521169" w:rsidP="007C4C4E">
      <w:pPr>
        <w:pStyle w:val="BodyText"/>
      </w:pPr>
      <w:r>
        <w:rPr>
          <w:lang w:val="en-US"/>
        </w:rPr>
        <w:t>Since Msg</w:t>
      </w:r>
      <w:r w:rsidR="007C4C4E">
        <w:rPr>
          <w:lang w:val="en-US"/>
        </w:rPr>
        <w:t xml:space="preserve">3 is the first message transmitted by the UE in the target cell, it is important that an appropriate timing advance (TA) is used to ensure that the gNB can receive Msg3 (PUSCH). </w:t>
      </w:r>
      <w:r w:rsidR="007C4C4E">
        <w:t>In LTE RACH-less HO, there are two possible values for TA in the target cell: either the TA is the same as in the source, or TA=0. Using either of these values limits the usability of RACH-less HO.</w:t>
      </w:r>
    </w:p>
    <w:p w14:paraId="31C6F2FE" w14:textId="14ECCE21" w:rsidR="007907BC" w:rsidRDefault="007907BC" w:rsidP="007907BC">
      <w:pPr>
        <w:pStyle w:val="BodyText"/>
      </w:pPr>
      <w:r>
        <w:t xml:space="preserve">Only recently, RAN4 has agreed to allow </w:t>
      </w:r>
      <w:r w:rsidR="007A118D">
        <w:t>one-shot</w:t>
      </w:r>
      <w:r>
        <w:t xml:space="preserve"> update of TA in the beam management context </w:t>
      </w:r>
      <w:r>
        <w:fldChar w:fldCharType="begin"/>
      </w:r>
      <w:r>
        <w:instrText xml:space="preserve"> REF _Ref4570672 \r \h </w:instrText>
      </w:r>
      <w:r>
        <w:fldChar w:fldCharType="separate"/>
      </w:r>
      <w:r w:rsidR="00484C75">
        <w:t>[7]</w:t>
      </w:r>
      <w:r>
        <w:fldChar w:fldCharType="end"/>
      </w:r>
      <w:r>
        <w:t>. In this case, the accuracy was deemed acceptable. It would seem that at least in some cases, the RACH-less HO is very similar to a beam switch with respect to timing adjustments.</w:t>
      </w:r>
    </w:p>
    <w:p w14:paraId="4B72F018" w14:textId="6AB770B0" w:rsidR="007907BC" w:rsidRDefault="007907BC" w:rsidP="007907BC">
      <w:pPr>
        <w:pStyle w:val="BodyText"/>
      </w:pPr>
      <w:r>
        <w:t xml:space="preserve">In the LS response </w:t>
      </w:r>
      <w:r>
        <w:fldChar w:fldCharType="begin"/>
      </w:r>
      <w:r>
        <w:instrText xml:space="preserve"> REF _Ref7504430 \r \h </w:instrText>
      </w:r>
      <w:r>
        <w:fldChar w:fldCharType="separate"/>
      </w:r>
      <w:r w:rsidR="00484C75">
        <w:t>[14]</w:t>
      </w:r>
      <w:r>
        <w:fldChar w:fldCharType="end"/>
      </w:r>
      <w:r>
        <w:t>, RAN4 stated that RACH-less HO for NR would be feasible for FR1 under the same conditions as for RACH-less HO for LTE: zero or equal TA. RAN4 also stated that RACH-less HO in FR2 or with different TAs was FFS.</w:t>
      </w:r>
    </w:p>
    <w:p w14:paraId="5231056A" w14:textId="77777777" w:rsidR="00C21874" w:rsidRDefault="00C21874" w:rsidP="007C4C4E">
      <w:pPr>
        <w:pStyle w:val="BodyText"/>
      </w:pPr>
    </w:p>
    <w:p w14:paraId="19EB768E" w14:textId="4D9EFE58" w:rsidR="007907BC" w:rsidRDefault="007907BC" w:rsidP="007907BC">
      <w:pPr>
        <w:pStyle w:val="BodyText"/>
      </w:pPr>
      <w:bookmarkStart w:id="2" w:name="_Hlk4571253"/>
      <w:r>
        <w:lastRenderedPageBreak/>
        <w:t xml:space="preserve">In the RAN4 paper </w:t>
      </w:r>
      <w:r>
        <w:fldChar w:fldCharType="begin"/>
      </w:r>
      <w:r>
        <w:instrText xml:space="preserve"> REF _Ref7504594 \r \h </w:instrText>
      </w:r>
      <w:r>
        <w:fldChar w:fldCharType="separate"/>
      </w:r>
      <w:r w:rsidR="00484C75">
        <w:t>[15]</w:t>
      </w:r>
      <w:r>
        <w:fldChar w:fldCharType="end"/>
      </w:r>
      <w:r>
        <w:t>, we argue that RACH-less HO with different TAs is indeed feasible.</w:t>
      </w:r>
      <w:r w:rsidRPr="00E24B35">
        <w:t xml:space="preserve"> </w:t>
      </w:r>
      <w:r>
        <w:t xml:space="preserve">It is explained that </w:t>
      </w:r>
      <w:r w:rsidRPr="00E24B35">
        <w:t>the</w:t>
      </w:r>
      <w:r>
        <w:t xml:space="preserve"> terms not related to BS timing errors are insignificant, implying that </w:t>
      </w:r>
      <w:proofErr w:type="gramStart"/>
      <w:r>
        <w:t>as long as</w:t>
      </w:r>
      <w:proofErr w:type="gramEnd"/>
      <w:r>
        <w:t xml:space="preserve"> the BSs are sufficiently synchronized, the UE may calculate the TA with sufficient accuracy. It is further explained that it is indeed feasible to achieve the required level of synchronization between BSs. Finally, and most importantly, the BS timing uncertainty is known to the NW, and based on that information, the NW may choose to enable </w:t>
      </w:r>
      <w:r w:rsidR="007A118D">
        <w:t xml:space="preserve">calculated </w:t>
      </w:r>
      <w:r>
        <w:t>TA (</w:t>
      </w:r>
      <w:proofErr w:type="gramStart"/>
      <w:r>
        <w:t>and also</w:t>
      </w:r>
      <w:proofErr w:type="gramEnd"/>
      <w:r>
        <w:t xml:space="preserve"> bear the consequences if the accuracy is insufficient):</w:t>
      </w:r>
    </w:p>
    <w:p w14:paraId="792FE3FF" w14:textId="29EDD726" w:rsidR="007907BC" w:rsidRDefault="007907BC" w:rsidP="007907BC">
      <w:pPr>
        <w:pStyle w:val="Observation"/>
      </w:pPr>
      <w:bookmarkStart w:id="3" w:name="_Ref7505427"/>
      <w:bookmarkStart w:id="4" w:name="_Toc7514362"/>
      <w:bookmarkStart w:id="5" w:name="_Toc7772638"/>
      <w:r>
        <w:t xml:space="preserve">The NW can choose to enable </w:t>
      </w:r>
      <w:r w:rsidR="007A118D">
        <w:t>calculated</w:t>
      </w:r>
      <w:r>
        <w:t xml:space="preserve"> TA only in scenarios where the BS timing uncertainty is sufficiently small.</w:t>
      </w:r>
      <w:bookmarkEnd w:id="3"/>
      <w:bookmarkEnd w:id="4"/>
      <w:bookmarkEnd w:id="5"/>
    </w:p>
    <w:p w14:paraId="3D4AB99A" w14:textId="44319246" w:rsidR="007907BC" w:rsidRDefault="007907BC" w:rsidP="007907BC">
      <w:pPr>
        <w:pStyle w:val="BodyText"/>
      </w:pPr>
      <w:r>
        <w:t xml:space="preserve">Based on </w:t>
      </w:r>
      <w:r>
        <w:fldChar w:fldCharType="begin"/>
      </w:r>
      <w:r>
        <w:instrText xml:space="preserve"> REF _Ref7505427 \r \h </w:instrText>
      </w:r>
      <w:r>
        <w:fldChar w:fldCharType="separate"/>
      </w:r>
      <w:r w:rsidR="00484C75">
        <w:t>Observation 1</w:t>
      </w:r>
      <w:r>
        <w:fldChar w:fldCharType="end"/>
      </w:r>
      <w:r>
        <w:t>, and the understanding that it is indeed feasible to achieve the required BS timing adjustment, we propose</w:t>
      </w:r>
    </w:p>
    <w:p w14:paraId="76BF2E78" w14:textId="340A2F10" w:rsidR="007907BC" w:rsidRDefault="007907BC" w:rsidP="007907BC">
      <w:pPr>
        <w:pStyle w:val="Proposal"/>
      </w:pPr>
      <w:bookmarkStart w:id="6" w:name="_Toc7514364"/>
      <w:bookmarkStart w:id="7" w:name="_Toc7772642"/>
      <w:r w:rsidRPr="00E24B35">
        <w:t xml:space="preserve">RACH-less handover with </w:t>
      </w:r>
      <w:r w:rsidR="007A118D">
        <w:t>calculated</w:t>
      </w:r>
      <w:r>
        <w:t xml:space="preserve"> TA </w:t>
      </w:r>
      <w:r w:rsidRPr="00E24B35">
        <w:t>is supported for NR mobility enhancement in synchronous networks</w:t>
      </w:r>
      <w:r>
        <w:t>.</w:t>
      </w:r>
      <w:bookmarkEnd w:id="6"/>
      <w:bookmarkEnd w:id="7"/>
    </w:p>
    <w:bookmarkEnd w:id="2"/>
    <w:p w14:paraId="1C6A2CB5" w14:textId="59BD1FD8" w:rsidR="00BC0C8C" w:rsidRDefault="00BC0C8C" w:rsidP="00BC0C8C">
      <w:pPr>
        <w:pStyle w:val="Heading3"/>
      </w:pPr>
      <w:r>
        <w:t>2.1.2</w:t>
      </w:r>
      <w:r>
        <w:tab/>
        <w:t>UL grants configuration and Tx/Rx beam related aspects</w:t>
      </w:r>
    </w:p>
    <w:p w14:paraId="3C51C5F0" w14:textId="77777777" w:rsidR="00BC0C8C" w:rsidRPr="0079562C" w:rsidRDefault="00BC0C8C" w:rsidP="00BC0C8C">
      <w:pPr>
        <w:pStyle w:val="BodyText"/>
      </w:pPr>
      <w:r>
        <w:t>Since there is no Msg2 transmitted in the target cell, the UE must be provided with the UL resources in another way. For LTE, two different ways have been proposed:</w:t>
      </w:r>
    </w:p>
    <w:p w14:paraId="282353A4" w14:textId="77777777" w:rsidR="00BC0C8C" w:rsidRDefault="00BC0C8C" w:rsidP="00BC0C8C">
      <w:pPr>
        <w:pStyle w:val="BodyText"/>
        <w:numPr>
          <w:ilvl w:val="0"/>
          <w:numId w:val="24"/>
        </w:numPr>
        <w:overflowPunct/>
        <w:autoSpaceDE/>
        <w:autoSpaceDN/>
        <w:adjustRightInd/>
        <w:textAlignment w:val="auto"/>
      </w:pPr>
      <w:r>
        <w:t>Preschedule UL resources in the RRC reconfiguration message.</w:t>
      </w:r>
    </w:p>
    <w:p w14:paraId="6E4C910B" w14:textId="77777777" w:rsidR="00BC0C8C" w:rsidRDefault="00BC0C8C" w:rsidP="00BC0C8C">
      <w:pPr>
        <w:pStyle w:val="BodyText"/>
        <w:numPr>
          <w:ilvl w:val="0"/>
          <w:numId w:val="24"/>
        </w:numPr>
        <w:overflowPunct/>
        <w:autoSpaceDE/>
        <w:autoSpaceDN/>
        <w:adjustRightInd/>
        <w:textAlignment w:val="auto"/>
      </w:pPr>
      <w:r>
        <w:t>Dynamically schedule UL resources using PDCCH in target cell</w:t>
      </w:r>
    </w:p>
    <w:p w14:paraId="0A65445E" w14:textId="308E9D0B" w:rsidR="00BC0C8C" w:rsidRDefault="00BC0C8C" w:rsidP="00BC0C8C">
      <w:pPr>
        <w:pStyle w:val="BodyText"/>
      </w:pPr>
      <w:r>
        <w:t>So far, the only identified physical layer aspects are related to the beam formed reception and transmission. This is true for both allocation methods.</w:t>
      </w:r>
    </w:p>
    <w:p w14:paraId="1007B5D5" w14:textId="03B01F53" w:rsidR="004B7717" w:rsidRDefault="00BC0C8C" w:rsidP="00521169">
      <w:pPr>
        <w:pStyle w:val="BodyText"/>
      </w:pPr>
      <w:bookmarkStart w:id="8" w:name="_Hlk4572194"/>
      <w:r>
        <w:t xml:space="preserve">In normal handover, the UE selects the best DL beam based on measurements performed just before the transmission of Msg1. Based on the best DL beam, the UE determines the RACH resource, and its Tx beam. The selected DL reference signal (beam) may be different from the beam(s) that triggered the neighbour cell report. Hence, the NW may not know which RACH resource the UE selects. </w:t>
      </w:r>
      <w:r w:rsidR="004B7717">
        <w:t>To facilitate a gNB implementation based on analogue beamforming, the NW may configure RACH opportunities that are time-multiplexed. The gNB will then sweep its Rx beam during the RACH opportunities. Note that the gNB needs to perform this sweep anyway to support initial access.</w:t>
      </w:r>
    </w:p>
    <w:p w14:paraId="07BE04CA" w14:textId="6028E2F9" w:rsidR="004B7717" w:rsidRDefault="004B7717" w:rsidP="00521169">
      <w:pPr>
        <w:pStyle w:val="BodyText"/>
      </w:pPr>
      <w:r>
        <w:t xml:space="preserve">The question then arises if we should allow the same flexibility for RACH-less handover: should we allow the UE to re-select the DL beam just before transmission of Msg3, and configure several PUSCH resources corresponding to different beams? Clearly, this would require the gNB to use different Rx beams for the different PUSCH resources, leading to additional overhead. In contrast to the time slots reserved for PRACH transmission (which are reused for initial access purposes), the resources reserved for Msg3 cannot be used for anything else. Furthermore, the PUSCH transmissions will most typically use a full slot, in contrast to the PRACH transmissions. </w:t>
      </w:r>
    </w:p>
    <w:p w14:paraId="4218C7ED" w14:textId="04F73E82" w:rsidR="002D0F84" w:rsidRDefault="002D0F84" w:rsidP="002D0F84">
      <w:pPr>
        <w:pStyle w:val="BodyText"/>
      </w:pPr>
      <w:r>
        <w:t>Based on the above discussion, we realize that the NW cannot be forced to assign different resources corresponding to all the different gNB Tx beams. It should be possible to configure only a small set of UL resources for Msg3 transmission, corresponding to a subset of the gNB TX beams. Within this subset, the UE can choose the TX beam based on the corresponding DL RS.  In the RAN1 specifications, the term ‘beam’ is not used. To specify the spatial characteristics of an UL transmission, the spatial relation concept is used. For RACH-less handover, we propose to reuse that concept also for Msg3:</w:t>
      </w:r>
    </w:p>
    <w:p w14:paraId="4BBAA869" w14:textId="77777777" w:rsidR="002D0F84" w:rsidRDefault="002D0F84" w:rsidP="002D0F84">
      <w:pPr>
        <w:pStyle w:val="Proposal"/>
      </w:pPr>
      <w:bookmarkStart w:id="9" w:name="_Toc7514365"/>
      <w:bookmarkStart w:id="10" w:name="_Toc7772643"/>
      <w:bookmarkStart w:id="11" w:name="_Hlk4574572"/>
      <w:r>
        <w:t>To transmit Msg3, the UE shall use a spatial relation defined by a DL RS selected from a set of RSs signalled by the NW.</w:t>
      </w:r>
      <w:bookmarkEnd w:id="9"/>
      <w:bookmarkEnd w:id="10"/>
    </w:p>
    <w:bookmarkEnd w:id="11"/>
    <w:p w14:paraId="00A1374C" w14:textId="275F289B" w:rsidR="004B7717" w:rsidRDefault="004B7717" w:rsidP="00521169">
      <w:pPr>
        <w:pStyle w:val="BodyText"/>
      </w:pPr>
      <w:r>
        <w:t xml:space="preserve">For the </w:t>
      </w:r>
      <w:r w:rsidR="002D0F84">
        <w:t xml:space="preserve">corresponding </w:t>
      </w:r>
      <w:r>
        <w:t>DL reception</w:t>
      </w:r>
      <w:r w:rsidR="002D0F84">
        <w:t>s</w:t>
      </w:r>
      <w:r>
        <w:t>, we reuse the QCL framework:</w:t>
      </w:r>
    </w:p>
    <w:p w14:paraId="52D678CC" w14:textId="77777777" w:rsidR="002D0F84" w:rsidRDefault="002D0F84" w:rsidP="002D0F84">
      <w:pPr>
        <w:pStyle w:val="Proposal"/>
      </w:pPr>
      <w:bookmarkStart w:id="12" w:name="_Toc7514366"/>
      <w:bookmarkStart w:id="13" w:name="_Toc7772644"/>
      <w:r>
        <w:t xml:space="preserve">Until reconfigured/activated, the UE may assume that all DL signals from the target gNB are </w:t>
      </w:r>
      <w:r w:rsidRPr="00357000">
        <w:t>quasi co-located with respect to QCL-</w:t>
      </w:r>
      <w:proofErr w:type="spellStart"/>
      <w:r w:rsidRPr="00357000">
        <w:t>TypeA</w:t>
      </w:r>
      <w:proofErr w:type="spellEnd"/>
      <w:r w:rsidRPr="00357000">
        <w:t>, and QCL-</w:t>
      </w:r>
      <w:proofErr w:type="spellStart"/>
      <w:r w:rsidRPr="00357000">
        <w:t>TypeD</w:t>
      </w:r>
      <w:proofErr w:type="spellEnd"/>
      <w:r w:rsidRPr="00357000">
        <w:t xml:space="preserve"> properties</w:t>
      </w:r>
      <w:r>
        <w:t xml:space="preserve"> with the selected DL RS.</w:t>
      </w:r>
      <w:bookmarkEnd w:id="12"/>
      <w:bookmarkEnd w:id="13"/>
    </w:p>
    <w:p w14:paraId="5687E7F6" w14:textId="7D188F0B" w:rsidR="004B7717" w:rsidRDefault="004B7717" w:rsidP="004B7717">
      <w:pPr>
        <w:pStyle w:val="BodyText"/>
      </w:pPr>
      <w:r>
        <w:t xml:space="preserve">Thus, the UE will use the </w:t>
      </w:r>
      <w:r w:rsidR="002D0F84">
        <w:t xml:space="preserve">selected </w:t>
      </w:r>
      <w:r>
        <w:t>RS both for DL reception and UL transmission.</w:t>
      </w:r>
    </w:p>
    <w:p w14:paraId="3EE90366" w14:textId="77777777" w:rsidR="00F474A5" w:rsidRDefault="00F474A5" w:rsidP="00F474A5">
      <w:pPr>
        <w:pStyle w:val="BodyText"/>
      </w:pPr>
      <w:r>
        <w:t>Additionally, the signalled DL RS is used as pathloss reference RS in the PUSCH power control:</w:t>
      </w:r>
    </w:p>
    <w:p w14:paraId="0C343481" w14:textId="18669CB4" w:rsidR="00F474A5" w:rsidRDefault="00F474A5" w:rsidP="00F474A5">
      <w:pPr>
        <w:pStyle w:val="Proposal"/>
      </w:pPr>
      <w:bookmarkStart w:id="14" w:name="_Toc4567454"/>
      <w:bookmarkStart w:id="15" w:name="_Toc7772645"/>
      <w:r>
        <w:t xml:space="preserve">The Msg3 Tx power is determined using the PUSCH power control rules specified in section 7.1.1. in </w:t>
      </w:r>
      <w:r>
        <w:fldChar w:fldCharType="begin"/>
      </w:r>
      <w:r>
        <w:instrText xml:space="preserve"> REF _Ref4574765 \r \h </w:instrText>
      </w:r>
      <w:r>
        <w:fldChar w:fldCharType="separate"/>
      </w:r>
      <w:r w:rsidR="00484C75">
        <w:t>[1]</w:t>
      </w:r>
      <w:r>
        <w:fldChar w:fldCharType="end"/>
      </w:r>
      <w:r>
        <w:t xml:space="preserve"> using the RS used for QCL assumptions and spatial relation determination as pathloss reference RS.</w:t>
      </w:r>
      <w:bookmarkEnd w:id="14"/>
      <w:bookmarkEnd w:id="15"/>
    </w:p>
    <w:p w14:paraId="74F5A0D5" w14:textId="77777777" w:rsidR="002D0F84" w:rsidRDefault="002D0F84" w:rsidP="004B7717">
      <w:pPr>
        <w:pStyle w:val="BodyText"/>
      </w:pPr>
      <w:r>
        <w:lastRenderedPageBreak/>
        <w:t xml:space="preserve">For normal HO, several DL RSs (beams) can be mapped to the same RACH occasion, i.e., the time/frequency resource where the PRACH preamble is transmitted. For RACH-less HO, the RACH occasion corresponds to the Msg3 allocation, and here we stress that it is important to keep the corresponding many-to-one mapping for RACH-less HO: </w:t>
      </w:r>
    </w:p>
    <w:p w14:paraId="28727DA2" w14:textId="77777777" w:rsidR="00F474A5" w:rsidRDefault="00F474A5" w:rsidP="00F474A5">
      <w:pPr>
        <w:pStyle w:val="Proposal"/>
      </w:pPr>
      <w:bookmarkStart w:id="16" w:name="_Toc7514367"/>
      <w:bookmarkStart w:id="17" w:name="_Toc7772646"/>
      <w:r>
        <w:t>In RACH-less HO, it should be possible to map several DL RSs to the same Msg3 allocation.</w:t>
      </w:r>
      <w:bookmarkEnd w:id="16"/>
      <w:bookmarkEnd w:id="17"/>
    </w:p>
    <w:p w14:paraId="2D4093B1" w14:textId="688C56D2" w:rsidR="002D0F84" w:rsidRDefault="00F474A5" w:rsidP="00F474A5">
      <w:pPr>
        <w:pStyle w:val="BodyText"/>
      </w:pPr>
      <w:r>
        <w:t>The reason for this mapping possibility is to limit the overhead of Msg3 allocations.</w:t>
      </w:r>
    </w:p>
    <w:p w14:paraId="2F7F8B46" w14:textId="77777777" w:rsidR="00F474A5" w:rsidRDefault="00F474A5" w:rsidP="00F474A5">
      <w:pPr>
        <w:pStyle w:val="BodyText"/>
      </w:pPr>
      <w:r>
        <w:t>In normal HO, the NW can assign different preambles to different UEs sharing the same RACH occasion. For the PUSCH allocation used to transmit Msg3, there is no such possibility. If several DL RSs are mapped to the same Msg3 allocation, the selected DL RS (beam) must be explicitly indicated in Msg3:</w:t>
      </w:r>
    </w:p>
    <w:p w14:paraId="4B0EC1E3" w14:textId="77777777" w:rsidR="00F474A5" w:rsidRDefault="00F474A5" w:rsidP="00F474A5">
      <w:pPr>
        <w:pStyle w:val="Proposal"/>
      </w:pPr>
      <w:bookmarkStart w:id="18" w:name="_Toc7514368"/>
      <w:bookmarkStart w:id="19" w:name="_Toc7772647"/>
      <w:r>
        <w:t>In RACH-less HO, it should be possible to configure the UE to signal the selected DL RS (beam) in Msg3.</w:t>
      </w:r>
      <w:bookmarkEnd w:id="18"/>
      <w:bookmarkEnd w:id="19"/>
    </w:p>
    <w:p w14:paraId="103109EB" w14:textId="77777777" w:rsidR="00F474A5" w:rsidRDefault="00F474A5" w:rsidP="00F474A5">
      <w:pPr>
        <w:pStyle w:val="BodyText"/>
      </w:pPr>
      <w:r>
        <w:t xml:space="preserve">The format for this signalling is FFS. </w:t>
      </w:r>
    </w:p>
    <w:bookmarkEnd w:id="8"/>
    <w:p w14:paraId="7C24E4BB" w14:textId="09C34A9B" w:rsidR="004B7717" w:rsidRDefault="004B7717" w:rsidP="004B7717">
      <w:pPr>
        <w:pStyle w:val="BodyText"/>
      </w:pPr>
      <w:r>
        <w:t xml:space="preserve">More details can be found in </w:t>
      </w:r>
      <w:r>
        <w:fldChar w:fldCharType="begin"/>
      </w:r>
      <w:r>
        <w:instrText xml:space="preserve"> REF _Ref4574745 \r \h </w:instrText>
      </w:r>
      <w:r>
        <w:fldChar w:fldCharType="separate"/>
      </w:r>
      <w:r w:rsidR="00484C75">
        <w:t>[8]</w:t>
      </w:r>
      <w:r>
        <w:fldChar w:fldCharType="end"/>
      </w:r>
      <w:r>
        <w:t>.</w:t>
      </w:r>
    </w:p>
    <w:p w14:paraId="27334501" w14:textId="17725740" w:rsidR="009D7C4B" w:rsidRDefault="00521169" w:rsidP="00521169">
      <w:pPr>
        <w:pStyle w:val="Heading2"/>
      </w:pPr>
      <w:r>
        <w:t>2.2</w:t>
      </w:r>
      <w:r>
        <w:tab/>
        <w:t>Make-Before-Break and DC-based HO</w:t>
      </w:r>
    </w:p>
    <w:p w14:paraId="74EB0F07" w14:textId="1889DEAF" w:rsidR="009D7C4B" w:rsidRPr="00200C26" w:rsidRDefault="009D7C4B" w:rsidP="009D7C4B">
      <w:pPr>
        <w:pStyle w:val="BodyText"/>
      </w:pPr>
      <w:r w:rsidRPr="00200C26">
        <w:t>RAN2 has agreed to study Make-Before-Break (</w:t>
      </w:r>
      <w:r w:rsidR="00D9187F" w:rsidRPr="00200C26">
        <w:t>MBB</w:t>
      </w:r>
      <w:r w:rsidRPr="00200C26">
        <w:t xml:space="preserve">) solutions to push HO interruption to 0ms. The </w:t>
      </w:r>
      <w:r w:rsidR="00D9187F" w:rsidRPr="00200C26">
        <w:t>MBB</w:t>
      </w:r>
      <w:r w:rsidRPr="00200C26">
        <w:t xml:space="preserve"> solution requires that the UE can simultaneously receive and transmit to more than one cell. In parallel, RAN2 is also studying if dual connectivity (DC) could be used to achieve 0ms delay. Note that </w:t>
      </w:r>
      <w:r w:rsidR="00D9187F" w:rsidRPr="00200C26">
        <w:t>MBB</w:t>
      </w:r>
      <w:r w:rsidRPr="00200C26">
        <w:t xml:space="preserve"> and DC-based HO are two different things: the </w:t>
      </w:r>
      <w:r w:rsidR="00D9187F" w:rsidRPr="00200C26">
        <w:t>MBB</w:t>
      </w:r>
      <w:r w:rsidRPr="00200C26">
        <w:t xml:space="preserve"> solutions may not rely on the signalling defined for dual connectivity.</w:t>
      </w:r>
    </w:p>
    <w:p w14:paraId="70281A3C" w14:textId="446F5011" w:rsidR="00200C26" w:rsidRDefault="009D7C4B" w:rsidP="00200C26">
      <w:pPr>
        <w:pStyle w:val="BodyText"/>
      </w:pPr>
      <w:r w:rsidRPr="00200C26">
        <w:t xml:space="preserve">From a L1 point of view, the </w:t>
      </w:r>
      <w:r w:rsidR="00D9187F" w:rsidRPr="00200C26">
        <w:t>MBB</w:t>
      </w:r>
      <w:r w:rsidRPr="00200C26">
        <w:t xml:space="preserve"> solution and DC-based HO </w:t>
      </w:r>
      <w:r w:rsidR="00492F68">
        <w:t>are</w:t>
      </w:r>
      <w:r w:rsidRPr="00200C26">
        <w:t xml:space="preserve"> quite similar, since they both require that the UE can communicate with two cells at the same time. The source and target cells may be on the same or on different carriers. </w:t>
      </w:r>
      <w:r w:rsidR="00200C26">
        <w:t xml:space="preserve">In RAN1#96bis, RAN1 discussed the feasibility of simultaneous Rx/Tx in response to </w:t>
      </w:r>
      <w:proofErr w:type="gramStart"/>
      <w:r w:rsidR="00200C26">
        <w:t>an</w:t>
      </w:r>
      <w:proofErr w:type="gramEnd"/>
      <w:r w:rsidR="00200C26">
        <w:t xml:space="preserve"> LS from RAN2 </w:t>
      </w:r>
      <w:r w:rsidR="00200C26">
        <w:fldChar w:fldCharType="begin"/>
      </w:r>
      <w:r w:rsidR="00200C26">
        <w:instrText xml:space="preserve"> REF _Ref7762131 \r \h </w:instrText>
      </w:r>
      <w:r w:rsidR="00200C26">
        <w:fldChar w:fldCharType="separate"/>
      </w:r>
      <w:r w:rsidR="00484C75">
        <w:t>[17]</w:t>
      </w:r>
      <w:r w:rsidR="00200C26">
        <w:fldChar w:fldCharType="end"/>
      </w:r>
      <w:r w:rsidR="00200C26">
        <w:t>. The outcome of the discussion was summarized in</w:t>
      </w:r>
      <w:r w:rsidR="008F18D7">
        <w:t xml:space="preserve"> </w:t>
      </w:r>
      <w:r w:rsidR="008F18D7">
        <w:fldChar w:fldCharType="begin"/>
      </w:r>
      <w:r w:rsidR="008F18D7">
        <w:instrText xml:space="preserve"> REF _Ref7762345 \r \h </w:instrText>
      </w:r>
      <w:r w:rsidR="008F18D7">
        <w:fldChar w:fldCharType="separate"/>
      </w:r>
      <w:r w:rsidR="00484C75">
        <w:t>[16]</w:t>
      </w:r>
      <w:r w:rsidR="008F18D7">
        <w:fldChar w:fldCharType="end"/>
      </w:r>
      <w:r w:rsidR="00200C26">
        <w:t>. RAN4 also provided a response to the LS in</w:t>
      </w:r>
      <w:r w:rsidR="008F18D7">
        <w:t xml:space="preserve"> </w:t>
      </w:r>
      <w:r w:rsidR="008F18D7">
        <w:fldChar w:fldCharType="begin"/>
      </w:r>
      <w:r w:rsidR="008F18D7">
        <w:instrText xml:space="preserve"> REF _Ref7504430 \r \h </w:instrText>
      </w:r>
      <w:r w:rsidR="008F18D7">
        <w:fldChar w:fldCharType="separate"/>
      </w:r>
      <w:r w:rsidR="00484C75">
        <w:t>[14]</w:t>
      </w:r>
      <w:r w:rsidR="008F18D7">
        <w:fldChar w:fldCharType="end"/>
      </w:r>
      <w:r w:rsidR="00200C26">
        <w:t>.</w:t>
      </w:r>
      <w:r w:rsidR="008F18D7">
        <w:t xml:space="preserve"> </w:t>
      </w:r>
    </w:p>
    <w:p w14:paraId="4C85A1A1" w14:textId="126AF6AD" w:rsidR="008F18D7" w:rsidRDefault="008F18D7" w:rsidP="00200C26">
      <w:pPr>
        <w:pStyle w:val="BodyText"/>
      </w:pPr>
      <w:r>
        <w:t>In some cases, the LS responses from RAN1 and RAN4 point in different directions. Furthermore, it seems to us that RAN1 did not take the conclusions from the parallel work on multi-TRP into account when formulating the LS response.</w:t>
      </w:r>
    </w:p>
    <w:p w14:paraId="5E25A828" w14:textId="242E0435" w:rsidR="002B2E91" w:rsidRDefault="002B2E91" w:rsidP="00465510">
      <w:pPr>
        <w:pStyle w:val="Heading3"/>
      </w:pPr>
      <w:r w:rsidRPr="008F18D7">
        <w:t>2.</w:t>
      </w:r>
      <w:r w:rsidR="00465510" w:rsidRPr="008F18D7">
        <w:t>2.</w:t>
      </w:r>
      <w:r w:rsidRPr="008F18D7">
        <w:t>1</w:t>
      </w:r>
      <w:r w:rsidRPr="008F18D7">
        <w:tab/>
      </w:r>
      <w:r w:rsidR="008F18D7" w:rsidRPr="008F18D7">
        <w:t>Asynchronous and synchronous deployments</w:t>
      </w:r>
    </w:p>
    <w:p w14:paraId="429939B7" w14:textId="77777777" w:rsidR="00161C93" w:rsidRDefault="008F18D7" w:rsidP="008F18D7">
      <w:pPr>
        <w:pStyle w:val="BodyText"/>
      </w:pPr>
      <w:r>
        <w:t>One of the topics that require further elaboration, and where the RAN1 and RAN4 reply LSs differ somewhat is how to define synchronous. In general, a network is considered synchronized if the base stations are phase synchronized which means that the radio frame begins at the same time.  The required level of synchronization depends on the purpose of the synchronization.  In the context of simultaneous RX/TX, it seems RAN4 understands synchronous to mean that base stations are sufficiently well aligned to allow simultaneous RX/TX with a single FFT. On the other hand, RAN1 at least in some cases considers any TDD deployment to be synchronized.</w:t>
      </w:r>
      <w:r w:rsidR="00161C93">
        <w:t xml:space="preserve"> These two definitions are quite different: with the RAN4 definition, most deployments are asynchronized:</w:t>
      </w:r>
    </w:p>
    <w:p w14:paraId="13328376" w14:textId="77777777" w:rsidR="00161C93" w:rsidRDefault="00161C93" w:rsidP="00161C93">
      <w:pPr>
        <w:pStyle w:val="Observation"/>
      </w:pPr>
      <w:bookmarkStart w:id="20" w:name="_Toc7767585"/>
      <w:bookmarkStart w:id="21" w:name="_Ref7772291"/>
      <w:bookmarkStart w:id="22" w:name="_Toc7772639"/>
      <w:r>
        <w:t>With the RAN4 definition of ‘synchronous’, most handovers, including intra-frequency handovers in TDD systems, would be asynchronous.</w:t>
      </w:r>
      <w:bookmarkEnd w:id="20"/>
      <w:bookmarkEnd w:id="21"/>
      <w:bookmarkEnd w:id="22"/>
    </w:p>
    <w:p w14:paraId="4D8181AD" w14:textId="77777777" w:rsidR="00161C93" w:rsidRDefault="00161C93" w:rsidP="00161C93">
      <w:pPr>
        <w:pStyle w:val="BodyText"/>
      </w:pPr>
      <w:r>
        <w:t>The only synchronous handover situations would occur in small cell/indoor deployments. We also note that FR2 deployments are less likely to be synchronous, due to the shorter CP.</w:t>
      </w:r>
    </w:p>
    <w:p w14:paraId="146428EB" w14:textId="2CF2CC1C" w:rsidR="008F18D7" w:rsidRDefault="00161C93" w:rsidP="008F18D7">
      <w:pPr>
        <w:pStyle w:val="BodyText"/>
      </w:pPr>
      <w:r>
        <w:t xml:space="preserve">We have also compared the discussion in the multi-TRP work in the </w:t>
      </w:r>
      <w:proofErr w:type="spellStart"/>
      <w:r>
        <w:t>eMIMO</w:t>
      </w:r>
      <w:proofErr w:type="spellEnd"/>
      <w:r>
        <w:t xml:space="preserve"> WI to the LS response. Here we observed that the imposed restrictions are rather strict, both regarding </w:t>
      </w:r>
      <w:r w:rsidR="007B05B9">
        <w:t>PDSCH reception and PUCCH transmission. Simultaneous reception of PDCCH or simultaneous transmission of PUSCH has not even been discussed:</w:t>
      </w:r>
    </w:p>
    <w:p w14:paraId="798D1DE4" w14:textId="5E24E404" w:rsidR="007B05B9" w:rsidRDefault="007B05B9" w:rsidP="007B05B9">
      <w:pPr>
        <w:pStyle w:val="Observation"/>
      </w:pPr>
      <w:bookmarkStart w:id="23" w:name="_Ref7772287"/>
      <w:bookmarkStart w:id="24" w:name="_Toc7772640"/>
      <w:r>
        <w:t xml:space="preserve">The requirements for simultaneous reception of PDSCH and simultaneous transmission of PUCCH agreed in the </w:t>
      </w:r>
      <w:proofErr w:type="spellStart"/>
      <w:r>
        <w:t>eMIMO</w:t>
      </w:r>
      <w:proofErr w:type="spellEnd"/>
      <w:r>
        <w:t xml:space="preserve"> WI are quite restrictive. Simultaneous PDCCH reception or simultaneous transmission of PUSCH have not even been discussed.</w:t>
      </w:r>
      <w:bookmarkEnd w:id="23"/>
      <w:bookmarkEnd w:id="24"/>
    </w:p>
    <w:p w14:paraId="484C5B86" w14:textId="1F954674" w:rsidR="007B05B9" w:rsidRDefault="007B05B9" w:rsidP="007B05B9">
      <w:pPr>
        <w:pStyle w:val="BodyText"/>
      </w:pPr>
      <w:r>
        <w:lastRenderedPageBreak/>
        <w:t xml:space="preserve">It appears to us that the LS response </w:t>
      </w:r>
      <w:r w:rsidR="00C87C4F">
        <w:t xml:space="preserve">does not capture the complications that are being discussed in the </w:t>
      </w:r>
      <w:proofErr w:type="spellStart"/>
      <w:r w:rsidR="00C87C4F">
        <w:t>eMIMO</w:t>
      </w:r>
      <w:proofErr w:type="spellEnd"/>
      <w:r w:rsidR="00C87C4F">
        <w:t xml:space="preserve"> WI. The restrictions imposed in the RAN1-led WI seem stricter than those conveyed in the LS response.  </w:t>
      </w:r>
    </w:p>
    <w:p w14:paraId="0193FA05" w14:textId="16FD5E44" w:rsidR="008F18D7" w:rsidRDefault="00C87C4F" w:rsidP="008F18D7">
      <w:pPr>
        <w:pStyle w:val="BodyText"/>
      </w:pPr>
      <w:r>
        <w:t xml:space="preserve">Considering </w:t>
      </w:r>
      <w:r>
        <w:fldChar w:fldCharType="begin"/>
      </w:r>
      <w:r>
        <w:instrText xml:space="preserve"> REF _Ref7772291 \r \h </w:instrText>
      </w:r>
      <w:r>
        <w:fldChar w:fldCharType="separate"/>
      </w:r>
      <w:r w:rsidR="00484C75">
        <w:t>Observation 2</w:t>
      </w:r>
      <w:r>
        <w:fldChar w:fldCharType="end"/>
      </w:r>
      <w:r>
        <w:t xml:space="preserve"> and </w:t>
      </w:r>
      <w:r>
        <w:fldChar w:fldCharType="begin"/>
      </w:r>
      <w:r>
        <w:instrText xml:space="preserve"> REF _Ref7772287 \r \h </w:instrText>
      </w:r>
      <w:r>
        <w:fldChar w:fldCharType="separate"/>
      </w:r>
      <w:r w:rsidR="00484C75">
        <w:t>Observation 3</w:t>
      </w:r>
      <w:r>
        <w:fldChar w:fldCharType="end"/>
      </w:r>
      <w:r>
        <w:t xml:space="preserve">, </w:t>
      </w:r>
      <w:proofErr w:type="gramStart"/>
      <w:r>
        <w:t>and also</w:t>
      </w:r>
      <w:proofErr w:type="gramEnd"/>
      <w:r>
        <w:t xml:space="preserve"> that RAN4 stated that simultaneous reception and transmission in FR2 is not feasible, we realize that</w:t>
      </w:r>
    </w:p>
    <w:p w14:paraId="27EB768C" w14:textId="6B3543B7" w:rsidR="00C87C4F" w:rsidRDefault="00C87C4F" w:rsidP="00C87C4F">
      <w:pPr>
        <w:pStyle w:val="Observation"/>
      </w:pPr>
      <w:bookmarkStart w:id="25" w:name="_Toc7772641"/>
      <w:r>
        <w:t xml:space="preserve">The situations where simultaneous reception </w:t>
      </w:r>
      <w:r w:rsidR="007D4865">
        <w:t>and transmission are feasible appear to be rather scarce.</w:t>
      </w:r>
      <w:bookmarkEnd w:id="25"/>
    </w:p>
    <w:p w14:paraId="64E0D3C7" w14:textId="17A52076" w:rsidR="00465510" w:rsidRDefault="00BB1745" w:rsidP="00BB1745">
      <w:pPr>
        <w:pStyle w:val="BodyText"/>
      </w:pPr>
      <w:r w:rsidRPr="00161C93">
        <w:t xml:space="preserve">A more comprehensive discussion can be found in </w:t>
      </w:r>
      <w:r w:rsidRPr="00161C93">
        <w:fldChar w:fldCharType="begin"/>
      </w:r>
      <w:r w:rsidRPr="00161C93">
        <w:instrText xml:space="preserve"> REF _Ref4579620 \r \h </w:instrText>
      </w:r>
      <w:r w:rsidR="00AB7127" w:rsidRPr="00161C93">
        <w:instrText xml:space="preserve"> \* MERGEFORMAT </w:instrText>
      </w:r>
      <w:r w:rsidRPr="00161C93">
        <w:fldChar w:fldCharType="separate"/>
      </w:r>
      <w:r w:rsidR="00484C75">
        <w:t>[9]</w:t>
      </w:r>
      <w:r w:rsidRPr="00161C93">
        <w:fldChar w:fldCharType="end"/>
      </w:r>
      <w:r w:rsidR="00465510" w:rsidRPr="00161C93">
        <w:t>.</w:t>
      </w:r>
    </w:p>
    <w:p w14:paraId="5E2FEC64" w14:textId="084134CD" w:rsidR="00460A3B" w:rsidRDefault="00460A3B" w:rsidP="00BB1745">
      <w:pPr>
        <w:pStyle w:val="BodyText"/>
      </w:pPr>
      <w:r>
        <w:t>Based on this discussion, we propose</w:t>
      </w:r>
    </w:p>
    <w:p w14:paraId="48935AE3" w14:textId="64BE4CE7" w:rsidR="00460A3B" w:rsidRPr="00161C93" w:rsidRDefault="00460A3B" w:rsidP="00460A3B">
      <w:pPr>
        <w:pStyle w:val="Proposal"/>
      </w:pPr>
      <w:bookmarkStart w:id="26" w:name="_Toc7772648"/>
      <w:r>
        <w:t>RAN1 should investigate other ways to reduce interruption to 0ms.</w:t>
      </w:r>
      <w:bookmarkEnd w:id="26"/>
    </w:p>
    <w:p w14:paraId="7CD9952E" w14:textId="0CC57E6B" w:rsidR="00521169" w:rsidRDefault="00521169" w:rsidP="00521169">
      <w:pPr>
        <w:pStyle w:val="Heading2"/>
      </w:pPr>
      <w:r>
        <w:t>2.3</w:t>
      </w:r>
      <w:r>
        <w:tab/>
        <w:t xml:space="preserve">Lower-layer mobility enhancements </w:t>
      </w:r>
    </w:p>
    <w:p w14:paraId="4EB25AA9" w14:textId="77777777" w:rsidR="0035425A" w:rsidRDefault="0035425A" w:rsidP="0035425A">
      <w:pPr>
        <w:pStyle w:val="BodyText"/>
      </w:pPr>
      <w:r>
        <w:t xml:space="preserve">Already early during the Rel-15 standardization, it was agreed that NR would support two types of mobility: </w:t>
      </w:r>
    </w:p>
    <w:p w14:paraId="2B4CF185" w14:textId="77777777" w:rsidR="0035425A" w:rsidRDefault="0035425A" w:rsidP="0035425A">
      <w:pPr>
        <w:pStyle w:val="BodyText"/>
        <w:numPr>
          <w:ilvl w:val="0"/>
          <w:numId w:val="25"/>
        </w:numPr>
      </w:pPr>
      <w:r>
        <w:t>Mobility without RRC involvement</w:t>
      </w:r>
    </w:p>
    <w:p w14:paraId="41DA32EA" w14:textId="77777777" w:rsidR="0035425A" w:rsidRDefault="0035425A" w:rsidP="0035425A">
      <w:pPr>
        <w:pStyle w:val="BodyText"/>
        <w:numPr>
          <w:ilvl w:val="0"/>
          <w:numId w:val="25"/>
        </w:numPr>
      </w:pPr>
      <w:r>
        <w:t>Mobility with RRC involvement</w:t>
      </w:r>
    </w:p>
    <w:p w14:paraId="6AE00C4D" w14:textId="1066195A" w:rsidR="0035425A" w:rsidRDefault="0035425A" w:rsidP="0035425A">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p w14:paraId="5B0FA738" w14:textId="0BC273EB" w:rsidR="005A17E2" w:rsidRDefault="0035425A" w:rsidP="005A17E2">
      <w:pPr>
        <w:pStyle w:val="BodyText"/>
      </w:pPr>
      <w:r>
        <w:t>Mobility without RRC involvement is also known as beam management. Although designed for a scenario where one TRP generates several narrow beams, it is equally a</w:t>
      </w:r>
      <w:r w:rsidR="005936B8">
        <w:t>pplicable to a multi-TRP cell as depicted in</w:t>
      </w:r>
      <w:r w:rsidR="005A17E2">
        <w:t xml:space="preserve"> </w:t>
      </w:r>
      <w:r w:rsidR="005A17E2">
        <w:fldChar w:fldCharType="begin"/>
      </w:r>
      <w:r w:rsidR="005A17E2">
        <w:instrText xml:space="preserve"> REF _Ref4587195 \h </w:instrText>
      </w:r>
      <w:r w:rsidR="005A17E2">
        <w:fldChar w:fldCharType="separate"/>
      </w:r>
      <w:r w:rsidR="00484C75" w:rsidRPr="00CE0424">
        <w:t xml:space="preserve">Figure </w:t>
      </w:r>
      <w:r w:rsidR="00484C75">
        <w:rPr>
          <w:noProof/>
        </w:rPr>
        <w:t>2</w:t>
      </w:r>
      <w:r w:rsidR="005A17E2">
        <w:fldChar w:fldCharType="end"/>
      </w:r>
      <w:r w:rsidR="005A17E2">
        <w:t>.</w:t>
      </w:r>
    </w:p>
    <w:p w14:paraId="2A14D91A" w14:textId="1606DA03" w:rsidR="00521169" w:rsidRPr="00521169" w:rsidRDefault="00257E4B" w:rsidP="0035425A">
      <w:pPr>
        <w:pStyle w:val="BodyText"/>
      </w:pPr>
      <w:r>
        <w:t>.</w:t>
      </w:r>
    </w:p>
    <w:p w14:paraId="1AF909C9" w14:textId="77777777" w:rsidR="00C645F5" w:rsidRDefault="00C645F5" w:rsidP="005936B8">
      <w:pPr>
        <w:pStyle w:val="TF"/>
      </w:pPr>
      <w:bookmarkStart w:id="27" w:name="_Ref4584220"/>
      <w:r>
        <w:rPr>
          <w:noProof/>
        </w:rPr>
        <w:drawing>
          <wp:inline distT="0" distB="0" distL="0" distR="0" wp14:anchorId="186348E1" wp14:editId="17D6540B">
            <wp:extent cx="2371725" cy="24926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mpscenario4.png"/>
                    <pic:cNvPicPr/>
                  </pic:nvPicPr>
                  <pic:blipFill>
                    <a:blip r:embed="rId12">
                      <a:extLst>
                        <a:ext uri="{28A0092B-C50C-407E-A947-70E740481C1C}">
                          <a14:useLocalDpi xmlns:a14="http://schemas.microsoft.com/office/drawing/2010/main" val="0"/>
                        </a:ext>
                      </a:extLst>
                    </a:blip>
                    <a:stretch>
                      <a:fillRect/>
                    </a:stretch>
                  </pic:blipFill>
                  <pic:spPr>
                    <a:xfrm>
                      <a:off x="0" y="0"/>
                      <a:ext cx="2375694" cy="2496859"/>
                    </a:xfrm>
                    <a:prstGeom prst="rect">
                      <a:avLst/>
                    </a:prstGeom>
                  </pic:spPr>
                </pic:pic>
              </a:graphicData>
            </a:graphic>
          </wp:inline>
        </w:drawing>
      </w:r>
    </w:p>
    <w:p w14:paraId="1A7DCB1E" w14:textId="49678348" w:rsidR="005936B8" w:rsidRPr="00C645F5" w:rsidRDefault="005936B8" w:rsidP="005936B8">
      <w:pPr>
        <w:pStyle w:val="TF"/>
        <w:rPr>
          <w:lang w:val="en-US"/>
        </w:rPr>
      </w:pPr>
      <w:bookmarkStart w:id="28" w:name="_Ref4587195"/>
      <w:r w:rsidRPr="00CE0424">
        <w:t xml:space="preserve">Figure </w:t>
      </w:r>
      <w:r>
        <w:rPr>
          <w:noProof/>
        </w:rPr>
        <w:fldChar w:fldCharType="begin"/>
      </w:r>
      <w:r>
        <w:rPr>
          <w:noProof/>
        </w:rPr>
        <w:instrText xml:space="preserve"> SEQ Figure \* ARABIC </w:instrText>
      </w:r>
      <w:r>
        <w:rPr>
          <w:noProof/>
        </w:rPr>
        <w:fldChar w:fldCharType="separate"/>
      </w:r>
      <w:r w:rsidR="00484C75">
        <w:rPr>
          <w:noProof/>
        </w:rPr>
        <w:t>2</w:t>
      </w:r>
      <w:r>
        <w:rPr>
          <w:noProof/>
        </w:rPr>
        <w:fldChar w:fldCharType="end"/>
      </w:r>
      <w:bookmarkEnd w:id="27"/>
      <w:bookmarkEnd w:id="28"/>
      <w:r w:rsidRPr="00CE0424">
        <w:t xml:space="preserve">: </w:t>
      </w:r>
      <w:r w:rsidR="00C645F5" w:rsidRPr="00C645F5">
        <w:rPr>
          <w:lang w:val="en-US"/>
        </w:rPr>
        <w:t>A multi-TRP cell</w:t>
      </w:r>
      <w:r w:rsidR="00C645F5">
        <w:rPr>
          <w:lang w:val="en-US"/>
        </w:rPr>
        <w:t xml:space="preserve">. All TRPs transmit the same SS/PBCH block(s). The UE performs intra-cell mobility, and the NW </w:t>
      </w:r>
      <w:r w:rsidR="003C6CEC">
        <w:rPr>
          <w:lang w:val="en-US"/>
        </w:rPr>
        <w:t xml:space="preserve">tracks the UE using either UL </w:t>
      </w:r>
      <w:r w:rsidR="00257E4B">
        <w:rPr>
          <w:lang w:val="en-US"/>
        </w:rPr>
        <w:t>receptions or measurements on CSI-RS.</w:t>
      </w:r>
      <w:r w:rsidR="009307EC">
        <w:rPr>
          <w:lang w:val="en-US"/>
        </w:rPr>
        <w:t xml:space="preserve"> RRC reconfigurations are not needed to handle the mobility.</w:t>
      </w:r>
    </w:p>
    <w:p w14:paraId="6498D05F" w14:textId="52C91138" w:rsidR="00521169" w:rsidRPr="00521169" w:rsidRDefault="009307EC" w:rsidP="009307EC">
      <w:pPr>
        <w:pStyle w:val="BodyText"/>
      </w:pPr>
      <w:r>
        <w:t xml:space="preserve">For the network topology in </w:t>
      </w:r>
      <w:r>
        <w:fldChar w:fldCharType="begin"/>
      </w:r>
      <w:r>
        <w:instrText xml:space="preserve"> REF _Ref4587195 \h </w:instrText>
      </w:r>
      <w:r>
        <w:fldChar w:fldCharType="separate"/>
      </w:r>
      <w:r w:rsidR="00484C75" w:rsidRPr="00CE0424">
        <w:t xml:space="preserve">Figure </w:t>
      </w:r>
      <w:r w:rsidR="00484C75">
        <w:rPr>
          <w:noProof/>
        </w:rPr>
        <w:t>2</w:t>
      </w:r>
      <w:r>
        <w:fldChar w:fldCharType="end"/>
      </w:r>
      <w:r>
        <w:t xml:space="preserve">, it would also be possible to make each TRP its own cell, as depicted in </w:t>
      </w:r>
      <w:r w:rsidR="0006070F">
        <w:fldChar w:fldCharType="begin"/>
      </w:r>
      <w:r w:rsidR="0006070F">
        <w:instrText xml:space="preserve"> REF _Ref4588792 \h </w:instrText>
      </w:r>
      <w:r w:rsidR="0006070F">
        <w:fldChar w:fldCharType="separate"/>
      </w:r>
      <w:r w:rsidR="00484C75" w:rsidRPr="00CE0424">
        <w:t xml:space="preserve">Figure </w:t>
      </w:r>
      <w:r w:rsidR="00484C75">
        <w:rPr>
          <w:noProof/>
        </w:rPr>
        <w:t>3</w:t>
      </w:r>
      <w:r w:rsidR="0006070F">
        <w:fldChar w:fldCharType="end"/>
      </w:r>
    </w:p>
    <w:p w14:paraId="63AD1326" w14:textId="67CE9A68" w:rsidR="009307EC" w:rsidRPr="00CE0424" w:rsidRDefault="009307EC" w:rsidP="009307EC">
      <w:pPr>
        <w:pStyle w:val="TH"/>
      </w:pPr>
      <w:r>
        <w:rPr>
          <w:noProof/>
        </w:rPr>
        <w:lastRenderedPageBreak/>
        <w:drawing>
          <wp:inline distT="0" distB="0" distL="0" distR="0" wp14:anchorId="7C067EEA" wp14:editId="78E27B83">
            <wp:extent cx="2324100" cy="24426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scenario4-sepcells..png"/>
                    <pic:cNvPicPr/>
                  </pic:nvPicPr>
                  <pic:blipFill>
                    <a:blip r:embed="rId13">
                      <a:extLst>
                        <a:ext uri="{28A0092B-C50C-407E-A947-70E740481C1C}">
                          <a14:useLocalDpi xmlns:a14="http://schemas.microsoft.com/office/drawing/2010/main" val="0"/>
                        </a:ext>
                      </a:extLst>
                    </a:blip>
                    <a:stretch>
                      <a:fillRect/>
                    </a:stretch>
                  </pic:blipFill>
                  <pic:spPr>
                    <a:xfrm>
                      <a:off x="0" y="0"/>
                      <a:ext cx="2326182" cy="2444821"/>
                    </a:xfrm>
                    <a:prstGeom prst="rect">
                      <a:avLst/>
                    </a:prstGeom>
                  </pic:spPr>
                </pic:pic>
              </a:graphicData>
            </a:graphic>
          </wp:inline>
        </w:drawing>
      </w:r>
    </w:p>
    <w:p w14:paraId="01C4932B" w14:textId="43C4D9CC" w:rsidR="009307EC" w:rsidRPr="008D00A5" w:rsidRDefault="009307EC" w:rsidP="009307EC">
      <w:pPr>
        <w:pStyle w:val="TF"/>
        <w:rPr>
          <w:lang w:val="en-GB"/>
        </w:rPr>
      </w:pPr>
      <w:bookmarkStart w:id="29" w:name="_Ref4588792"/>
      <w:r w:rsidRPr="00CE0424">
        <w:t xml:space="preserve">Figure </w:t>
      </w:r>
      <w:r>
        <w:rPr>
          <w:noProof/>
        </w:rPr>
        <w:fldChar w:fldCharType="begin"/>
      </w:r>
      <w:r>
        <w:rPr>
          <w:noProof/>
        </w:rPr>
        <w:instrText xml:space="preserve"> SEQ Figure \* ARABIC </w:instrText>
      </w:r>
      <w:r>
        <w:rPr>
          <w:noProof/>
        </w:rPr>
        <w:fldChar w:fldCharType="separate"/>
      </w:r>
      <w:r w:rsidR="00484C75">
        <w:rPr>
          <w:noProof/>
        </w:rPr>
        <w:t>3</w:t>
      </w:r>
      <w:r>
        <w:rPr>
          <w:noProof/>
        </w:rPr>
        <w:fldChar w:fldCharType="end"/>
      </w:r>
      <w:bookmarkEnd w:id="29"/>
      <w:r w:rsidRPr="00CE0424">
        <w:t xml:space="preserve">: </w:t>
      </w:r>
      <w:r w:rsidRPr="009307EC">
        <w:rPr>
          <w:lang w:val="en-US"/>
        </w:rPr>
        <w:t>Five separate</w:t>
      </w:r>
      <w:r>
        <w:rPr>
          <w:lang w:val="en-US"/>
        </w:rPr>
        <w:t xml:space="preserve"> cells. All TRPs transmit different SS/PBCH block. The UE performs inter-cell mobility using RRC reconfiguration with sync.  </w:t>
      </w:r>
    </w:p>
    <w:p w14:paraId="00C8F998" w14:textId="6C471D5F" w:rsidR="008E4BA9" w:rsidRDefault="0006070F" w:rsidP="0006070F">
      <w:pPr>
        <w:pStyle w:val="BodyText"/>
      </w:pPr>
      <w:r>
        <w:t xml:space="preserve">Comparing </w:t>
      </w:r>
      <w:r>
        <w:fldChar w:fldCharType="begin"/>
      </w:r>
      <w:r>
        <w:instrText xml:space="preserve"> REF _Ref4587195 \h </w:instrText>
      </w:r>
      <w:r>
        <w:fldChar w:fldCharType="separate"/>
      </w:r>
      <w:r w:rsidR="00484C75" w:rsidRPr="00CE0424">
        <w:t xml:space="preserve">Figure </w:t>
      </w:r>
      <w:r w:rsidR="00484C75">
        <w:rPr>
          <w:noProof/>
        </w:rPr>
        <w:t>2</w:t>
      </w:r>
      <w:r>
        <w:fldChar w:fldCharType="end"/>
      </w:r>
      <w:r>
        <w:t xml:space="preserve"> and </w:t>
      </w:r>
      <w:r>
        <w:fldChar w:fldCharType="begin"/>
      </w:r>
      <w:r>
        <w:instrText xml:space="preserve"> REF _Ref4588792 \h </w:instrText>
      </w:r>
      <w:r>
        <w:fldChar w:fldCharType="separate"/>
      </w:r>
      <w:r w:rsidR="00484C75" w:rsidRPr="00CE0424">
        <w:t xml:space="preserve">Figure </w:t>
      </w:r>
      <w:r w:rsidR="00484C75">
        <w:rPr>
          <w:noProof/>
        </w:rPr>
        <w:t>3</w:t>
      </w:r>
      <w:r>
        <w:fldChar w:fldCharType="end"/>
      </w:r>
      <w:r>
        <w:t xml:space="preserve">, the mobility procedures become significantly more complicated, and the handovers between the cells causes interrupts. The fact that the network is now transmitting different SS/PBCH blocks from the different TRPs </w:t>
      </w:r>
      <w:r w:rsidR="00795CAC">
        <w:t xml:space="preserve">creates </w:t>
      </w:r>
      <w:r>
        <w:t xml:space="preserve">an artificial </w:t>
      </w:r>
      <w:r w:rsidR="00795CAC">
        <w:t>border in the network, leading to a performance degradation.</w:t>
      </w:r>
    </w:p>
    <w:p w14:paraId="0225D60E" w14:textId="6FD4EE29" w:rsidR="008E4BA9" w:rsidRDefault="008E4BA9" w:rsidP="0006070F">
      <w:pPr>
        <w:pStyle w:val="BodyText"/>
      </w:pPr>
      <w:r>
        <w:t xml:space="preserve">The deployment in </w:t>
      </w:r>
      <w:r>
        <w:fldChar w:fldCharType="begin"/>
      </w:r>
      <w:r>
        <w:instrText xml:space="preserve"> REF _Ref4587195 \h </w:instrText>
      </w:r>
      <w:r>
        <w:fldChar w:fldCharType="separate"/>
      </w:r>
      <w:r w:rsidR="00484C75" w:rsidRPr="00CE0424">
        <w:t xml:space="preserve">Figure </w:t>
      </w:r>
      <w:r w:rsidR="00484C75">
        <w:rPr>
          <w:noProof/>
        </w:rPr>
        <w:t>2</w:t>
      </w:r>
      <w:r>
        <w:fldChar w:fldCharType="end"/>
      </w:r>
      <w:r>
        <w:t xml:space="preserve"> has some complications. The UE would be configured to use the SS/PBCH block as QCL source for TRS, </w:t>
      </w:r>
      <w:proofErr w:type="gramStart"/>
      <w:r w:rsidR="00434806">
        <w:t>despite the fact that</w:t>
      </w:r>
      <w:proofErr w:type="gramEnd"/>
      <w:r w:rsidR="00434806">
        <w:t xml:space="preserve"> the TRS would be transmitted from only one of the TRPs. This may lead to some performance degradation. Also, if intra-cell mobility is handled using CSI-RS leads to additional overhead. Also, from an O&amp;M point of view, the single-cell configuration may also not be preferred: if LTE and NR are co-sited, keeping the 5-cell configuration from LTE would be easier to maintain. </w:t>
      </w:r>
    </w:p>
    <w:p w14:paraId="79610192" w14:textId="47FAE78F" w:rsidR="00434806" w:rsidRDefault="00434806" w:rsidP="0006070F">
      <w:pPr>
        <w:pStyle w:val="BodyText"/>
      </w:pPr>
      <w:r>
        <w:t xml:space="preserve">Fortunately, only small changes are needed in the standard to make the deployment in </w:t>
      </w:r>
      <w:r>
        <w:fldChar w:fldCharType="begin"/>
      </w:r>
      <w:r>
        <w:instrText xml:space="preserve"> REF _Ref4588792 \h </w:instrText>
      </w:r>
      <w:r>
        <w:fldChar w:fldCharType="separate"/>
      </w:r>
      <w:r w:rsidR="00484C75" w:rsidRPr="00CE0424">
        <w:t xml:space="preserve">Figure </w:t>
      </w:r>
      <w:r w:rsidR="00484C75">
        <w:rPr>
          <w:noProof/>
        </w:rPr>
        <w:t>3</w:t>
      </w:r>
      <w:r>
        <w:fldChar w:fldCharType="end"/>
      </w:r>
      <w:r>
        <w:t xml:space="preserve"> possible and still avoid RRC reconfigurations, thereby reducing interrupts and signalling. </w:t>
      </w:r>
      <w:r w:rsidR="00032B19">
        <w:t>With small additions to the standard, it also becomes possible to perform measurements of the neighbour cells using L1 measurements, which would speed up the reporting, and make it possible to increase robustness.</w:t>
      </w:r>
    </w:p>
    <w:p w14:paraId="32F9EF04" w14:textId="7C5C9AF9" w:rsidR="00032B19" w:rsidRDefault="00032B19" w:rsidP="0006070F">
      <w:pPr>
        <w:pStyle w:val="BodyText"/>
      </w:pPr>
      <w:r>
        <w:t>This is achieved using the following functionality:</w:t>
      </w:r>
    </w:p>
    <w:p w14:paraId="7E5E99A8" w14:textId="2609A8B0" w:rsidR="00032B19" w:rsidRDefault="00032B19" w:rsidP="00032B19">
      <w:pPr>
        <w:pStyle w:val="BodyText"/>
        <w:numPr>
          <w:ilvl w:val="0"/>
          <w:numId w:val="26"/>
        </w:numPr>
      </w:pPr>
      <w:r>
        <w:t>Introduce the possibility to include SS/PBCH blocks for non-serving cells in the TCI state</w:t>
      </w:r>
      <w:r w:rsidR="004F2EE3">
        <w:t xml:space="preserve"> </w:t>
      </w:r>
      <w:r w:rsidR="004F2EE3">
        <w:fldChar w:fldCharType="begin"/>
      </w:r>
      <w:r w:rsidR="004F2EE3">
        <w:instrText xml:space="preserve"> REF _Ref4593407 \r \h </w:instrText>
      </w:r>
      <w:r w:rsidR="004F2EE3">
        <w:fldChar w:fldCharType="separate"/>
      </w:r>
      <w:r w:rsidR="00484C75">
        <w:t>[2]</w:t>
      </w:r>
      <w:r w:rsidR="004F2EE3">
        <w:fldChar w:fldCharType="end"/>
      </w:r>
      <w:r>
        <w:t>. With this, it becomes possible to change the synchronization source of the UE to a non-serving cell. The connection can then be transferred between two cells without any RRC signalling to the UE. Compared to the RRC procedures, the handling is much faster: the TCI update is activated 3ms after the MAC CE command is received. The key NR property that makes this possible is that the physical layer parameters can be completely decoupled from the PCI. In LTE, this is impossible: the PDCCH scrambling is directly derived from the PCI.</w:t>
      </w:r>
    </w:p>
    <w:p w14:paraId="3AD98F3F" w14:textId="1DA06D75" w:rsidR="00032B19" w:rsidRDefault="00032B19" w:rsidP="00032B19">
      <w:pPr>
        <w:pStyle w:val="BodyText"/>
        <w:numPr>
          <w:ilvl w:val="0"/>
          <w:numId w:val="26"/>
        </w:numPr>
      </w:pPr>
      <w:r>
        <w:t>Introduce the possibility to report L1-RSRP</w:t>
      </w:r>
      <w:r w:rsidR="000915A1">
        <w:fldChar w:fldCharType="begin"/>
      </w:r>
      <w:r w:rsidR="000915A1">
        <w:instrText xml:space="preserve"> REF _Ref4593301 \r \h </w:instrText>
      </w:r>
      <w:r w:rsidR="000915A1">
        <w:fldChar w:fldCharType="separate"/>
      </w:r>
      <w:r w:rsidR="00484C75">
        <w:t>[3]</w:t>
      </w:r>
      <w:r w:rsidR="000915A1">
        <w:fldChar w:fldCharType="end"/>
      </w:r>
      <w:r>
        <w:t xml:space="preserve"> from non-serving cells over L1, i.e., using PUCCH/PUSCH. With these reports, the network can determine when the UE crosses the border between cells without involving RRC. Since the reports are leaner, they can be transmitted more often, providing more information to the network. This in turns enables the network to perform more advanced processing of the measurements.</w:t>
      </w:r>
    </w:p>
    <w:p w14:paraId="7E643EE9" w14:textId="271B2813" w:rsidR="00032B19" w:rsidRDefault="00032B19" w:rsidP="00032B19">
      <w:pPr>
        <w:pStyle w:val="BodyText"/>
      </w:pPr>
      <w:r>
        <w:t>Both these pieces of functionality are simple extensions of beam management procedures to the inter-cell case. These inter-cell extensions should not lead to a significant burden on the UE: the measurements are anyway performed, and the only additional thing is to get the measurements to the network. The MAC CE update of the TCI state is anyway implemented, and the only extension is that the UE should be able to directly use RSs in neighbour cells as QCL sources.</w:t>
      </w:r>
    </w:p>
    <w:p w14:paraId="30CD6A7F" w14:textId="780836BB" w:rsidR="00521169" w:rsidRDefault="00032B19" w:rsidP="0006070F">
      <w:pPr>
        <w:pStyle w:val="BodyText"/>
      </w:pPr>
      <w:r>
        <w:t xml:space="preserve">Further details can be found in </w:t>
      </w:r>
      <w:r w:rsidR="003B7C8A">
        <w:fldChar w:fldCharType="begin"/>
      </w:r>
      <w:r w:rsidR="003B7C8A">
        <w:instrText xml:space="preserve"> REF _Ref4593126 \r \h </w:instrText>
      </w:r>
      <w:r w:rsidR="003B7C8A">
        <w:fldChar w:fldCharType="separate"/>
      </w:r>
      <w:r w:rsidR="00484C75">
        <w:t>[10]</w:t>
      </w:r>
      <w:r w:rsidR="003B7C8A">
        <w:fldChar w:fldCharType="end"/>
      </w:r>
      <w:r w:rsidR="003B7C8A">
        <w:t>.</w:t>
      </w:r>
      <w:r w:rsidR="0006070F">
        <w:t xml:space="preserve"> </w:t>
      </w:r>
    </w:p>
    <w:p w14:paraId="57373DEF" w14:textId="49439B27" w:rsidR="00644F4E" w:rsidRDefault="00644F4E" w:rsidP="00644F4E">
      <w:pPr>
        <w:pStyle w:val="Heading2"/>
      </w:pPr>
      <w:r>
        <w:t>2.4 Early CSI reporting</w:t>
      </w:r>
    </w:p>
    <w:p w14:paraId="0F56192F" w14:textId="77777777" w:rsidR="00644F4E" w:rsidRDefault="00644F4E" w:rsidP="00644F4E">
      <w:pPr>
        <w:pStyle w:val="BodyText"/>
      </w:pPr>
      <w:r>
        <w:t xml:space="preserve">After a handover has taken place, the UE is experiencing new channel conditions. The CSI reports collected in the old cell are no longer relevant. This lack of channel knowledge will force the network to rely on the most </w:t>
      </w:r>
      <w:r>
        <w:lastRenderedPageBreak/>
        <w:t xml:space="preserve">robust modulation and coding schemes until the first CQI report arrives. If the UE could be asked to provide channel state information earlier, the throughput can be improved. </w:t>
      </w:r>
    </w:p>
    <w:p w14:paraId="7510E335" w14:textId="2964167F" w:rsidR="00644F4E" w:rsidRDefault="00A9591B" w:rsidP="00644F4E">
      <w:pPr>
        <w:pStyle w:val="BodyText"/>
      </w:pPr>
      <w:r>
        <w:t>One possibility would be to request CSI in the target cell at the first possible occasion, i.e., in Msg3. Fortunately, t</w:t>
      </w:r>
      <w:r w:rsidR="00644F4E">
        <w:t xml:space="preserve">he RAR grant described in </w:t>
      </w:r>
      <w:r>
        <w:fldChar w:fldCharType="begin"/>
      </w:r>
      <w:r>
        <w:instrText xml:space="preserve"> REF _Ref4574765 \r \h </w:instrText>
      </w:r>
      <w:r>
        <w:fldChar w:fldCharType="separate"/>
      </w:r>
      <w:r w:rsidR="00484C75">
        <w:t>[1]</w:t>
      </w:r>
      <w:r>
        <w:fldChar w:fldCharType="end"/>
      </w:r>
      <w:r w:rsidR="00644F4E">
        <w:t xml:space="preserve"> contains a CSI request bit</w:t>
      </w:r>
      <w:r>
        <w:t>, which would trigger the UE to provide a CSI report</w:t>
      </w:r>
      <w:r w:rsidR="00644F4E">
        <w:t>. However, there is no description in the specification on how the UE would interpret the bit</w:t>
      </w:r>
      <w:r>
        <w:t>, and its use is reserved.</w:t>
      </w:r>
    </w:p>
    <w:p w14:paraId="0241DB29" w14:textId="3966BEB1" w:rsidR="00A9591B" w:rsidRDefault="00A9591B" w:rsidP="00A9591B">
      <w:pPr>
        <w:pStyle w:val="BodyText"/>
      </w:pPr>
      <w:r>
        <w:t xml:space="preserve">The CSI request field was introduced in NB-IoT, with the purpose to aid the PDCCH link adaptation: the UE would provide the NW with a CSI report already in Msg3. This is described in </w:t>
      </w:r>
      <w:r>
        <w:fldChar w:fldCharType="begin"/>
      </w:r>
      <w:r>
        <w:instrText xml:space="preserve"> REF _Ref4753385 \r \h </w:instrText>
      </w:r>
      <w:r>
        <w:fldChar w:fldCharType="separate"/>
      </w:r>
      <w:r w:rsidR="00484C75">
        <w:t>[11]</w:t>
      </w:r>
      <w:r>
        <w:fldChar w:fldCharType="end"/>
      </w:r>
      <w:r>
        <w:fldChar w:fldCharType="begin"/>
      </w:r>
      <w:r>
        <w:instrText xml:space="preserve"> REF _Ref4753387 \r \h </w:instrText>
      </w:r>
      <w:r>
        <w:fldChar w:fldCharType="separate"/>
      </w:r>
      <w:r w:rsidR="00484C75">
        <w:t>[12]</w:t>
      </w:r>
      <w:r>
        <w:fldChar w:fldCharType="end"/>
      </w:r>
      <w:r>
        <w:t>.</w:t>
      </w:r>
    </w:p>
    <w:p w14:paraId="33815384" w14:textId="77777777" w:rsidR="00A9591B" w:rsidRDefault="00A9591B" w:rsidP="00A9591B">
      <w:pPr>
        <w:pStyle w:val="BodyText"/>
      </w:pPr>
      <w:r>
        <w:t xml:space="preserve">We propose to introduce such CSI reporting also for NR: </w:t>
      </w:r>
    </w:p>
    <w:p w14:paraId="036DBB76" w14:textId="77777777" w:rsidR="00A9591B" w:rsidRPr="00A04F49" w:rsidRDefault="00A9591B" w:rsidP="00A9591B">
      <w:pPr>
        <w:pStyle w:val="Proposal"/>
      </w:pPr>
      <w:bookmarkStart w:id="30" w:name="_Toc4754902"/>
      <w:bookmarkStart w:id="31" w:name="_Toc7772649"/>
      <w:r>
        <w:t>Support CSI reporting in Msg3 triggered by the CSI request bit in the RAR grant, both for contention-based and non-contention-based random access.</w:t>
      </w:r>
      <w:bookmarkEnd w:id="30"/>
      <w:bookmarkEnd w:id="31"/>
      <w:r>
        <w:t xml:space="preserve"> </w:t>
      </w:r>
    </w:p>
    <w:p w14:paraId="41A41071" w14:textId="7D637253" w:rsidR="00644F4E" w:rsidRPr="00644F4E" w:rsidRDefault="00A9591B" w:rsidP="00A9591B">
      <w:pPr>
        <w:pStyle w:val="BodyText"/>
      </w:pPr>
      <w:r>
        <w:t xml:space="preserve">The report format would be different for contention-based and non-contention-based access. The details are described in </w:t>
      </w:r>
      <w:r>
        <w:fldChar w:fldCharType="begin"/>
      </w:r>
      <w:r>
        <w:instrText xml:space="preserve"> REF _Ref4758394 \r \h </w:instrText>
      </w:r>
      <w:r>
        <w:fldChar w:fldCharType="separate"/>
      </w:r>
      <w:r w:rsidR="00484C75">
        <w:t>[13]</w:t>
      </w:r>
      <w:r>
        <w:fldChar w:fldCharType="end"/>
      </w:r>
      <w:r>
        <w:t>.</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D9F1BA" w14:textId="0B00E2D6" w:rsidR="00484C7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72638" w:history="1">
        <w:r w:rsidR="00484C75" w:rsidRPr="0055015C">
          <w:rPr>
            <w:rStyle w:val="Hyperlink"/>
            <w:noProof/>
          </w:rPr>
          <w:t>Observation 1</w:t>
        </w:r>
        <w:r w:rsidR="00484C75">
          <w:rPr>
            <w:rFonts w:asciiTheme="minorHAnsi" w:eastAsiaTheme="minorEastAsia" w:hAnsiTheme="minorHAnsi" w:cstheme="minorBidi"/>
            <w:b w:val="0"/>
            <w:noProof/>
            <w:sz w:val="22"/>
            <w:szCs w:val="22"/>
            <w:lang w:val="sv-SE" w:eastAsia="sv-SE"/>
          </w:rPr>
          <w:tab/>
        </w:r>
        <w:r w:rsidR="00484C75" w:rsidRPr="0055015C">
          <w:rPr>
            <w:rStyle w:val="Hyperlink"/>
            <w:noProof/>
          </w:rPr>
          <w:t>The NW can choose to enable autonomous TA adjustment only in scenarios where the BS timing uncertainty is sufficiently small.</w:t>
        </w:r>
      </w:hyperlink>
    </w:p>
    <w:p w14:paraId="451B558B" w14:textId="0767616D"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39" w:history="1">
        <w:r w:rsidR="00484C75" w:rsidRPr="0055015C">
          <w:rPr>
            <w:rStyle w:val="Hyperlink"/>
            <w:noProof/>
          </w:rPr>
          <w:t>Observation 2</w:t>
        </w:r>
        <w:r w:rsidR="00484C75">
          <w:rPr>
            <w:rFonts w:asciiTheme="minorHAnsi" w:eastAsiaTheme="minorEastAsia" w:hAnsiTheme="minorHAnsi" w:cstheme="minorBidi"/>
            <w:b w:val="0"/>
            <w:noProof/>
            <w:sz w:val="22"/>
            <w:szCs w:val="22"/>
            <w:lang w:val="sv-SE" w:eastAsia="sv-SE"/>
          </w:rPr>
          <w:tab/>
        </w:r>
        <w:r w:rsidR="00484C75" w:rsidRPr="0055015C">
          <w:rPr>
            <w:rStyle w:val="Hyperlink"/>
            <w:noProof/>
          </w:rPr>
          <w:t>With the RAN4 definition of ‘synchronous’, most handovers, including intra-frequency handovers in TDD systems, would be asynchronous.</w:t>
        </w:r>
      </w:hyperlink>
    </w:p>
    <w:p w14:paraId="44ADA1C4" w14:textId="458EFA84"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0" w:history="1">
        <w:r w:rsidR="00484C75" w:rsidRPr="0055015C">
          <w:rPr>
            <w:rStyle w:val="Hyperlink"/>
            <w:noProof/>
          </w:rPr>
          <w:t>Observation 3</w:t>
        </w:r>
        <w:r w:rsidR="00484C75">
          <w:rPr>
            <w:rFonts w:asciiTheme="minorHAnsi" w:eastAsiaTheme="minorEastAsia" w:hAnsiTheme="minorHAnsi" w:cstheme="minorBidi"/>
            <w:b w:val="0"/>
            <w:noProof/>
            <w:sz w:val="22"/>
            <w:szCs w:val="22"/>
            <w:lang w:val="sv-SE" w:eastAsia="sv-SE"/>
          </w:rPr>
          <w:tab/>
        </w:r>
        <w:r w:rsidR="00484C75" w:rsidRPr="0055015C">
          <w:rPr>
            <w:rStyle w:val="Hyperlink"/>
            <w:noProof/>
          </w:rPr>
          <w:t>The requirements for simultaneous reception of PDSCH and simultaneous transmission of PUCCH agreed in the eMIMO WI are quite restrictive. Simultaneous PDCCH reception or simultaneous transmission of PUSCH have not even been discussed.</w:t>
        </w:r>
      </w:hyperlink>
    </w:p>
    <w:p w14:paraId="5423C819" w14:textId="7D72BEED"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1" w:history="1">
        <w:r w:rsidR="00484C75" w:rsidRPr="0055015C">
          <w:rPr>
            <w:rStyle w:val="Hyperlink"/>
            <w:noProof/>
          </w:rPr>
          <w:t>Observation 4</w:t>
        </w:r>
        <w:r w:rsidR="00484C75">
          <w:rPr>
            <w:rFonts w:asciiTheme="minorHAnsi" w:eastAsiaTheme="minorEastAsia" w:hAnsiTheme="minorHAnsi" w:cstheme="minorBidi"/>
            <w:b w:val="0"/>
            <w:noProof/>
            <w:sz w:val="22"/>
            <w:szCs w:val="22"/>
            <w:lang w:val="sv-SE" w:eastAsia="sv-SE"/>
          </w:rPr>
          <w:tab/>
        </w:r>
        <w:r w:rsidR="00484C75" w:rsidRPr="0055015C">
          <w:rPr>
            <w:rStyle w:val="Hyperlink"/>
            <w:noProof/>
          </w:rPr>
          <w:t>The situations where simultaneous reception and transmission are feasible appear to be rather scarce.</w:t>
        </w:r>
      </w:hyperlink>
    </w:p>
    <w:p w14:paraId="638CBFAF" w14:textId="435D8591" w:rsidR="006E1C82" w:rsidRDefault="006F6582" w:rsidP="008E065E">
      <w:pPr>
        <w:pStyle w:val="BodyText"/>
        <w:rPr>
          <w:b/>
          <w:bCs/>
        </w:rPr>
      </w:pPr>
      <w:r>
        <w:rPr>
          <w:b/>
          <w:bCs/>
        </w:rPr>
        <w:fldChar w:fldCharType="end"/>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AF3517" w14:textId="03F519B3" w:rsidR="00484C7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72642" w:history="1">
        <w:r w:rsidR="00484C75" w:rsidRPr="0019528F">
          <w:rPr>
            <w:rStyle w:val="Hyperlink"/>
            <w:noProof/>
          </w:rPr>
          <w:t>Proposal 1</w:t>
        </w:r>
        <w:r w:rsidR="00484C75">
          <w:rPr>
            <w:rFonts w:asciiTheme="minorHAnsi" w:eastAsiaTheme="minorEastAsia" w:hAnsiTheme="minorHAnsi" w:cstheme="minorBidi"/>
            <w:b w:val="0"/>
            <w:noProof/>
            <w:sz w:val="22"/>
            <w:szCs w:val="22"/>
            <w:lang w:val="sv-SE" w:eastAsia="sv-SE"/>
          </w:rPr>
          <w:tab/>
        </w:r>
        <w:r w:rsidR="00484C75" w:rsidRPr="0019528F">
          <w:rPr>
            <w:rStyle w:val="Hyperlink"/>
            <w:noProof/>
          </w:rPr>
          <w:t>RACH-less handover with autonomous TA adjustment is supported for NR mobility enhancement in synchronous networks.</w:t>
        </w:r>
      </w:hyperlink>
    </w:p>
    <w:p w14:paraId="41948208" w14:textId="0CB5907F"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3" w:history="1">
        <w:r w:rsidR="00484C75" w:rsidRPr="0019528F">
          <w:rPr>
            <w:rStyle w:val="Hyperlink"/>
            <w:noProof/>
          </w:rPr>
          <w:t>Proposal 2</w:t>
        </w:r>
        <w:r w:rsidR="00484C75">
          <w:rPr>
            <w:rFonts w:asciiTheme="minorHAnsi" w:eastAsiaTheme="minorEastAsia" w:hAnsiTheme="minorHAnsi" w:cstheme="minorBidi"/>
            <w:b w:val="0"/>
            <w:noProof/>
            <w:sz w:val="22"/>
            <w:szCs w:val="22"/>
            <w:lang w:val="sv-SE" w:eastAsia="sv-SE"/>
          </w:rPr>
          <w:tab/>
        </w:r>
        <w:r w:rsidR="00484C75" w:rsidRPr="0019528F">
          <w:rPr>
            <w:rStyle w:val="Hyperlink"/>
            <w:noProof/>
          </w:rPr>
          <w:t>To transmit Msg3, the UE shall use a spatial relation defined by a DL RS selected from a set of RSs signalled by the NW.</w:t>
        </w:r>
      </w:hyperlink>
    </w:p>
    <w:p w14:paraId="794D3C1A" w14:textId="202624E7"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4" w:history="1">
        <w:r w:rsidR="00484C75" w:rsidRPr="0019528F">
          <w:rPr>
            <w:rStyle w:val="Hyperlink"/>
            <w:noProof/>
          </w:rPr>
          <w:t>Proposal 3</w:t>
        </w:r>
        <w:r w:rsidR="00484C75">
          <w:rPr>
            <w:rFonts w:asciiTheme="minorHAnsi" w:eastAsiaTheme="minorEastAsia" w:hAnsiTheme="minorHAnsi" w:cstheme="minorBidi"/>
            <w:b w:val="0"/>
            <w:noProof/>
            <w:sz w:val="22"/>
            <w:szCs w:val="22"/>
            <w:lang w:val="sv-SE" w:eastAsia="sv-SE"/>
          </w:rPr>
          <w:tab/>
        </w:r>
        <w:r w:rsidR="00484C75" w:rsidRPr="0019528F">
          <w:rPr>
            <w:rStyle w:val="Hyperlink"/>
            <w:noProof/>
          </w:rPr>
          <w:t>Until reconfigured/activated, the UE may assume that all DL signals from the target gNB are quasi co-located with respect to QCL-TypeA, and QCL-TypeD properties with the selected DL RS.</w:t>
        </w:r>
      </w:hyperlink>
    </w:p>
    <w:p w14:paraId="2307B16D" w14:textId="438828FC"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5" w:history="1">
        <w:r w:rsidR="00484C75" w:rsidRPr="0019528F">
          <w:rPr>
            <w:rStyle w:val="Hyperlink"/>
            <w:noProof/>
          </w:rPr>
          <w:t>Proposal 4</w:t>
        </w:r>
        <w:r w:rsidR="00484C75">
          <w:rPr>
            <w:rFonts w:asciiTheme="minorHAnsi" w:eastAsiaTheme="minorEastAsia" w:hAnsiTheme="minorHAnsi" w:cstheme="minorBidi"/>
            <w:b w:val="0"/>
            <w:noProof/>
            <w:sz w:val="22"/>
            <w:szCs w:val="22"/>
            <w:lang w:val="sv-SE" w:eastAsia="sv-SE"/>
          </w:rPr>
          <w:tab/>
        </w:r>
        <w:r w:rsidR="00484C75" w:rsidRPr="0019528F">
          <w:rPr>
            <w:rStyle w:val="Hyperlink"/>
            <w:noProof/>
          </w:rPr>
          <w:t>The Msg3 Tx power is determined using the PUSCH power control rules specified in section 7.1.1. in [1] using the RS used for QCL assumptions and spatial relation determination as pathloss reference RS.</w:t>
        </w:r>
      </w:hyperlink>
    </w:p>
    <w:p w14:paraId="792E5F5D" w14:textId="633C18A3"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6" w:history="1">
        <w:r w:rsidR="00484C75" w:rsidRPr="0019528F">
          <w:rPr>
            <w:rStyle w:val="Hyperlink"/>
            <w:noProof/>
          </w:rPr>
          <w:t>Proposal 5</w:t>
        </w:r>
        <w:r w:rsidR="00484C75">
          <w:rPr>
            <w:rFonts w:asciiTheme="minorHAnsi" w:eastAsiaTheme="minorEastAsia" w:hAnsiTheme="minorHAnsi" w:cstheme="minorBidi"/>
            <w:b w:val="0"/>
            <w:noProof/>
            <w:sz w:val="22"/>
            <w:szCs w:val="22"/>
            <w:lang w:val="sv-SE" w:eastAsia="sv-SE"/>
          </w:rPr>
          <w:tab/>
        </w:r>
        <w:r w:rsidR="00484C75" w:rsidRPr="0019528F">
          <w:rPr>
            <w:rStyle w:val="Hyperlink"/>
            <w:noProof/>
          </w:rPr>
          <w:t>In RACH-less HO, it should be possible to map several DL RSs to the same Msg3 allocation.</w:t>
        </w:r>
      </w:hyperlink>
    </w:p>
    <w:p w14:paraId="030D588B" w14:textId="2FF94E89"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7" w:history="1">
        <w:r w:rsidR="00484C75" w:rsidRPr="0019528F">
          <w:rPr>
            <w:rStyle w:val="Hyperlink"/>
            <w:noProof/>
          </w:rPr>
          <w:t>Proposal 6</w:t>
        </w:r>
        <w:r w:rsidR="00484C75">
          <w:rPr>
            <w:rFonts w:asciiTheme="minorHAnsi" w:eastAsiaTheme="minorEastAsia" w:hAnsiTheme="minorHAnsi" w:cstheme="minorBidi"/>
            <w:b w:val="0"/>
            <w:noProof/>
            <w:sz w:val="22"/>
            <w:szCs w:val="22"/>
            <w:lang w:val="sv-SE" w:eastAsia="sv-SE"/>
          </w:rPr>
          <w:tab/>
        </w:r>
        <w:r w:rsidR="00484C75" w:rsidRPr="0019528F">
          <w:rPr>
            <w:rStyle w:val="Hyperlink"/>
            <w:noProof/>
          </w:rPr>
          <w:t>In RACH-less HO, it should be possible to configure the UE to signal the selected DL RS (beam) in Msg3.</w:t>
        </w:r>
      </w:hyperlink>
    </w:p>
    <w:p w14:paraId="320A7363" w14:textId="53E245A8"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8" w:history="1">
        <w:r w:rsidR="00484C75" w:rsidRPr="0019528F">
          <w:rPr>
            <w:rStyle w:val="Hyperlink"/>
            <w:noProof/>
          </w:rPr>
          <w:t>Proposal 7</w:t>
        </w:r>
        <w:r w:rsidR="00484C75">
          <w:rPr>
            <w:rFonts w:asciiTheme="minorHAnsi" w:eastAsiaTheme="minorEastAsia" w:hAnsiTheme="minorHAnsi" w:cstheme="minorBidi"/>
            <w:b w:val="0"/>
            <w:noProof/>
            <w:sz w:val="22"/>
            <w:szCs w:val="22"/>
            <w:lang w:val="sv-SE" w:eastAsia="sv-SE"/>
          </w:rPr>
          <w:tab/>
        </w:r>
        <w:r w:rsidR="00484C75" w:rsidRPr="0019528F">
          <w:rPr>
            <w:rStyle w:val="Hyperlink"/>
            <w:noProof/>
          </w:rPr>
          <w:t>RAN1 should investigate other ways to reduce interruption to 0ms.</w:t>
        </w:r>
      </w:hyperlink>
    </w:p>
    <w:p w14:paraId="55F95ADB" w14:textId="0289CB88" w:rsidR="00484C75" w:rsidRDefault="00026F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2649" w:history="1">
        <w:r w:rsidR="00484C75" w:rsidRPr="0019528F">
          <w:rPr>
            <w:rStyle w:val="Hyperlink"/>
            <w:noProof/>
          </w:rPr>
          <w:t>Proposal 8</w:t>
        </w:r>
        <w:r w:rsidR="00484C75">
          <w:rPr>
            <w:rFonts w:asciiTheme="minorHAnsi" w:eastAsiaTheme="minorEastAsia" w:hAnsiTheme="minorHAnsi" w:cstheme="minorBidi"/>
            <w:b w:val="0"/>
            <w:noProof/>
            <w:sz w:val="22"/>
            <w:szCs w:val="22"/>
            <w:lang w:val="sv-SE" w:eastAsia="sv-SE"/>
          </w:rPr>
          <w:tab/>
        </w:r>
        <w:r w:rsidR="00484C75" w:rsidRPr="0019528F">
          <w:rPr>
            <w:rStyle w:val="Hyperlink"/>
            <w:noProof/>
          </w:rPr>
          <w:t>Support CSI reporting in Msg3 triggered by the CSI request bit in the RAR grant, both for contention-based and non-contention-based random access.</w:t>
        </w:r>
      </w:hyperlink>
    </w:p>
    <w:p w14:paraId="00614492" w14:textId="1ED9EEE9" w:rsidR="00C01F33" w:rsidRPr="00A9591B" w:rsidRDefault="006E1C82" w:rsidP="00A9591B">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32" w:name="_In-sequence_SDU_delivery"/>
      <w:bookmarkEnd w:id="32"/>
      <w:r w:rsidRPr="00CE0424">
        <w:lastRenderedPageBreak/>
        <w:t>References</w:t>
      </w:r>
    </w:p>
    <w:p w14:paraId="28BC6BAB" w14:textId="4FD26FB6" w:rsidR="00EA1409" w:rsidRPr="00CE0424" w:rsidRDefault="00EA1409" w:rsidP="00EA1409">
      <w:pPr>
        <w:pStyle w:val="Reference"/>
      </w:pPr>
      <w:bookmarkStart w:id="33" w:name="_Ref4574765"/>
      <w:bookmarkStart w:id="34" w:name="_Ref174151459"/>
      <w:bookmarkStart w:id="35" w:name="_Ref189809556"/>
      <w:r>
        <w:t xml:space="preserve">3GPP TS 38.213, NR; </w:t>
      </w:r>
      <w:r w:rsidRPr="00D11F23">
        <w:t xml:space="preserve">Physical layer procedures for </w:t>
      </w:r>
      <w:r>
        <w:t xml:space="preserve">control, </w:t>
      </w:r>
      <w:r w:rsidR="00D31158">
        <w:t>RAN#83</w:t>
      </w:r>
      <w:r>
        <w:t>, V15.</w:t>
      </w:r>
      <w:r w:rsidR="00D31158">
        <w:t>5</w:t>
      </w:r>
      <w:r>
        <w:t xml:space="preserve">.0, </w:t>
      </w:r>
      <w:r w:rsidR="00D31158">
        <w:t>March 2019</w:t>
      </w:r>
      <w:bookmarkEnd w:id="33"/>
    </w:p>
    <w:p w14:paraId="5F7B3EF5" w14:textId="48B5B9B7" w:rsidR="00EA1409" w:rsidRPr="00CE0424" w:rsidRDefault="00EA1409" w:rsidP="00EA1409">
      <w:pPr>
        <w:pStyle w:val="Reference"/>
      </w:pPr>
      <w:bookmarkStart w:id="36" w:name="_Ref4593407"/>
      <w:r>
        <w:t xml:space="preserve">3GPP TS 38.214, NR; </w:t>
      </w:r>
      <w:r w:rsidRPr="00D11F23">
        <w:t xml:space="preserve">Physical layer procedures for </w:t>
      </w:r>
      <w:r>
        <w:t xml:space="preserve">data, </w:t>
      </w:r>
      <w:r w:rsidR="00D31158">
        <w:t>RAN#83</w:t>
      </w:r>
      <w:r>
        <w:t>, V15.</w:t>
      </w:r>
      <w:r w:rsidR="00D31158">
        <w:t>5</w:t>
      </w:r>
      <w:r>
        <w:t xml:space="preserve">.0, </w:t>
      </w:r>
      <w:r w:rsidR="00D31158">
        <w:t>March 2019</w:t>
      </w:r>
      <w:bookmarkEnd w:id="36"/>
    </w:p>
    <w:p w14:paraId="162B33EB" w14:textId="3BDA5985" w:rsidR="00EA1409" w:rsidRPr="00CE0424" w:rsidRDefault="00EA1409" w:rsidP="00EA1409">
      <w:pPr>
        <w:pStyle w:val="Reference"/>
      </w:pPr>
      <w:bookmarkStart w:id="37" w:name="_Ref4593301"/>
      <w:r>
        <w:t xml:space="preserve">3GPP TS 38.215, NR; </w:t>
      </w:r>
      <w:r w:rsidRPr="007D71DF">
        <w:t>Physical layer measurements</w:t>
      </w:r>
      <w:r>
        <w:t xml:space="preserve">, </w:t>
      </w:r>
      <w:r w:rsidR="00D31158">
        <w:t>RAN#83</w:t>
      </w:r>
      <w:r>
        <w:t>, V15.</w:t>
      </w:r>
      <w:r w:rsidR="00D31158">
        <w:t>5</w:t>
      </w:r>
      <w:r>
        <w:t xml:space="preserve">.0, </w:t>
      </w:r>
      <w:r w:rsidR="00D31158">
        <w:t>March 2019</w:t>
      </w:r>
      <w:bookmarkEnd w:id="37"/>
    </w:p>
    <w:p w14:paraId="12737BF7" w14:textId="6C579EA2" w:rsidR="00EA1409" w:rsidRDefault="00EA1409" w:rsidP="00EA1409">
      <w:pPr>
        <w:pStyle w:val="Reference"/>
      </w:pPr>
      <w:r>
        <w:t xml:space="preserve">3GPP TS 38.321, NR; Medium Access Control (MAC) protocol specification, </w:t>
      </w:r>
      <w:r w:rsidR="00D31158">
        <w:t>RAN#83</w:t>
      </w:r>
      <w:r>
        <w:t>, V15.</w:t>
      </w:r>
      <w:r w:rsidR="00D31158">
        <w:t>5</w:t>
      </w:r>
      <w:r>
        <w:t xml:space="preserve">.0, </w:t>
      </w:r>
      <w:r w:rsidR="00D31158">
        <w:t>March 2019</w:t>
      </w:r>
      <w:r>
        <w:t xml:space="preserve"> </w:t>
      </w:r>
    </w:p>
    <w:p w14:paraId="7367720B" w14:textId="1FB4E4F1" w:rsidR="00EA1409" w:rsidRPr="00CE0424" w:rsidRDefault="00EA1409" w:rsidP="00EA1409">
      <w:pPr>
        <w:pStyle w:val="Reference"/>
      </w:pPr>
      <w:r>
        <w:t xml:space="preserve">3GPP TS 38.331, NR; </w:t>
      </w:r>
      <w:r w:rsidRPr="007D71DF">
        <w:t>Radio Resource Control (RRC) protocol specification</w:t>
      </w:r>
      <w:r>
        <w:t xml:space="preserve">, </w:t>
      </w:r>
      <w:r w:rsidR="00D31158">
        <w:t>RAN#83</w:t>
      </w:r>
      <w:r>
        <w:t>, V15.</w:t>
      </w:r>
      <w:r w:rsidR="00D31158">
        <w:t>5</w:t>
      </w:r>
      <w:r>
        <w:t xml:space="preserve">.0, </w:t>
      </w:r>
      <w:r w:rsidR="00D31158">
        <w:t>March 2019</w:t>
      </w:r>
      <w:r>
        <w:t xml:space="preserve"> </w:t>
      </w:r>
    </w:p>
    <w:p w14:paraId="592B9F07" w14:textId="77777777" w:rsidR="00521169" w:rsidRDefault="00521169" w:rsidP="00521169">
      <w:pPr>
        <w:pStyle w:val="Reference"/>
        <w:overflowPunct/>
        <w:autoSpaceDE/>
        <w:autoSpaceDN/>
        <w:adjustRightInd/>
        <w:textAlignment w:val="auto"/>
      </w:pPr>
      <w:bookmarkStart w:id="38" w:name="_Ref4570526"/>
      <w:bookmarkStart w:id="39" w:name="_Ref4487021"/>
      <w:r w:rsidRPr="00AE1184">
        <w:t>R4-166817</w:t>
      </w:r>
      <w:r>
        <w:t xml:space="preserve">, </w:t>
      </w:r>
      <w:r w:rsidRPr="00AE1184">
        <w:t>Reply LS on the feasibility of mobility enhancement solutions</w:t>
      </w:r>
      <w:r>
        <w:t>, RAN4, RAN4 #80, Gothenburg, August 2016</w:t>
      </w:r>
      <w:bookmarkEnd w:id="38"/>
    </w:p>
    <w:p w14:paraId="7980C2EE" w14:textId="0C995E05" w:rsidR="00521169" w:rsidRPr="00CE0424" w:rsidRDefault="00521169" w:rsidP="00521169">
      <w:pPr>
        <w:pStyle w:val="Reference"/>
        <w:overflowPunct/>
        <w:autoSpaceDE/>
        <w:autoSpaceDN/>
        <w:adjustRightInd/>
        <w:textAlignment w:val="auto"/>
      </w:pPr>
      <w:bookmarkStart w:id="40" w:name="_Ref4570672"/>
      <w:r>
        <w:t>R4-1902047, WF on UE beam switch, Ericsson, Media</w:t>
      </w:r>
      <w:r w:rsidR="00484C75">
        <w:t>T</w:t>
      </w:r>
      <w:r>
        <w:t>ek, Qualcomm, RAN4#90, Athens, March 2019</w:t>
      </w:r>
      <w:bookmarkEnd w:id="39"/>
      <w:bookmarkEnd w:id="40"/>
    </w:p>
    <w:p w14:paraId="1A264E28" w14:textId="0698B89F" w:rsidR="00EA1409" w:rsidRDefault="004B7717" w:rsidP="00311702">
      <w:pPr>
        <w:pStyle w:val="Reference"/>
      </w:pPr>
      <w:bookmarkStart w:id="41" w:name="_Ref4574745"/>
      <w:r w:rsidRPr="00026FD9">
        <w:t>R1-19</w:t>
      </w:r>
      <w:r w:rsidR="001C5A8B" w:rsidRPr="00026FD9">
        <w:t>0</w:t>
      </w:r>
      <w:r w:rsidR="00026FD9" w:rsidRPr="00026FD9">
        <w:t>7471</w:t>
      </w:r>
      <w:r>
        <w:t xml:space="preserve">, </w:t>
      </w:r>
      <w:r w:rsidRPr="004B7717">
        <w:t>Physical layer aspects of RACH-less HO</w:t>
      </w:r>
      <w:r>
        <w:t>, Ericsson, RAN1#9</w:t>
      </w:r>
      <w:r w:rsidR="00AB7127">
        <w:t>7</w:t>
      </w:r>
      <w:r>
        <w:t xml:space="preserve">, </w:t>
      </w:r>
      <w:r w:rsidR="00AB7127">
        <w:t>Reno, May</w:t>
      </w:r>
      <w:r>
        <w:t xml:space="preserve"> 2019</w:t>
      </w:r>
      <w:bookmarkEnd w:id="41"/>
    </w:p>
    <w:p w14:paraId="12FFC0B2" w14:textId="0728FEEB" w:rsidR="00BB1745" w:rsidRDefault="00BB1745" w:rsidP="002B2E91">
      <w:pPr>
        <w:pStyle w:val="Reference"/>
      </w:pPr>
      <w:bookmarkStart w:id="42" w:name="_Ref4579620"/>
      <w:r w:rsidRPr="00026FD9">
        <w:t>R1-19</w:t>
      </w:r>
      <w:r w:rsidR="001C5A8B" w:rsidRPr="00026FD9">
        <w:t>0</w:t>
      </w:r>
      <w:r w:rsidR="00026FD9" w:rsidRPr="00026FD9">
        <w:t>7470</w:t>
      </w:r>
      <w:r>
        <w:t xml:space="preserve">, </w:t>
      </w:r>
      <w:r w:rsidR="00161C93" w:rsidRPr="00161C93">
        <w:t>Further discussion on simultaneous Rx/Tx</w:t>
      </w:r>
      <w:r>
        <w:t xml:space="preserve">, Ericsson, </w:t>
      </w:r>
      <w:bookmarkEnd w:id="42"/>
      <w:r w:rsidR="00AB7127">
        <w:t>RAN1#97, Reno, May 2019</w:t>
      </w:r>
    </w:p>
    <w:p w14:paraId="4D4AC19F" w14:textId="0BDBDC80" w:rsidR="00032B19" w:rsidRDefault="00032B19" w:rsidP="00032B19">
      <w:pPr>
        <w:pStyle w:val="Reference"/>
      </w:pPr>
      <w:bookmarkStart w:id="43" w:name="_Ref4593126"/>
      <w:r w:rsidRPr="00F26A59">
        <w:t>R1-19</w:t>
      </w:r>
      <w:r w:rsidR="00F26A59" w:rsidRPr="00F26A59">
        <w:t>07435</w:t>
      </w:r>
      <w:r>
        <w:t>,</w:t>
      </w:r>
      <w:r w:rsidRPr="00032B19">
        <w:t xml:space="preserve"> Details on lower-layer mobility enhancements</w:t>
      </w:r>
      <w:r>
        <w:t xml:space="preserve">, Ericsson, </w:t>
      </w:r>
      <w:bookmarkEnd w:id="43"/>
      <w:r w:rsidR="00AB7127">
        <w:t>RAN1#97, Reno, May 2019</w:t>
      </w:r>
    </w:p>
    <w:p w14:paraId="0496F9C6" w14:textId="77777777" w:rsidR="00A9591B" w:rsidRDefault="00A9591B" w:rsidP="00A9591B">
      <w:pPr>
        <w:pStyle w:val="Reference"/>
      </w:pPr>
      <w:bookmarkStart w:id="44" w:name="_Ref4753385"/>
      <w:r>
        <w:t xml:space="preserve">3GPP TS 36.133, </w:t>
      </w:r>
      <w:r w:rsidRPr="00354621">
        <w:t>Requirements for support of radio resource management</w:t>
      </w:r>
      <w:r>
        <w:t>, RAN#82, V15.5.0, December 2018</w:t>
      </w:r>
      <w:bookmarkEnd w:id="44"/>
    </w:p>
    <w:p w14:paraId="2EF8D2E9" w14:textId="77777777" w:rsidR="00A9591B" w:rsidRPr="00CE0424" w:rsidRDefault="00A9591B" w:rsidP="00A9591B">
      <w:pPr>
        <w:pStyle w:val="Reference"/>
      </w:pPr>
      <w:bookmarkStart w:id="45" w:name="_Ref4753387"/>
      <w:r>
        <w:t xml:space="preserve">3GPP TS 36.331, </w:t>
      </w:r>
      <w:r w:rsidRPr="007D71DF">
        <w:t>Radio Resource Control (RRC) protocol specification</w:t>
      </w:r>
      <w:r>
        <w:t>, RAN#82, V15.5.0, December 2018</w:t>
      </w:r>
      <w:bookmarkEnd w:id="45"/>
    </w:p>
    <w:p w14:paraId="51FD9C35" w14:textId="742D68EE" w:rsidR="00A9591B" w:rsidRDefault="00A9591B" w:rsidP="00032B19">
      <w:pPr>
        <w:pStyle w:val="Reference"/>
      </w:pPr>
      <w:bookmarkStart w:id="46" w:name="_Ref4758394"/>
      <w:r w:rsidRPr="00026FD9">
        <w:t>R1-19</w:t>
      </w:r>
      <w:r w:rsidR="001C5A8B" w:rsidRPr="00026FD9">
        <w:t>0</w:t>
      </w:r>
      <w:r w:rsidR="00026FD9" w:rsidRPr="00026FD9">
        <w:t>7472</w:t>
      </w:r>
      <w:r>
        <w:t xml:space="preserve">, Early CSI reporting in HO, Ericsson, </w:t>
      </w:r>
      <w:bookmarkEnd w:id="46"/>
      <w:r w:rsidR="00AB7127">
        <w:t>RAN1#97, Reno, May 2019</w:t>
      </w:r>
    </w:p>
    <w:p w14:paraId="0B1974C4" w14:textId="6E56AE8F" w:rsidR="007907BC" w:rsidRDefault="007907BC" w:rsidP="007907BC">
      <w:pPr>
        <w:pStyle w:val="Reference"/>
      </w:pPr>
      <w:bookmarkStart w:id="47" w:name="_Hlk7770214"/>
      <w:bookmarkStart w:id="48" w:name="_Ref7504430"/>
      <w:r w:rsidRPr="00E24B35">
        <w:t>R1-1905926</w:t>
      </w:r>
      <w:bookmarkEnd w:id="47"/>
      <w:r>
        <w:t xml:space="preserve">, </w:t>
      </w:r>
      <w:r w:rsidRPr="00E24B35">
        <w:t>Reply LS on NR mobility enhancement</w:t>
      </w:r>
      <w:r>
        <w:t>, RAN</w:t>
      </w:r>
      <w:r w:rsidR="00200C26">
        <w:t>4</w:t>
      </w:r>
      <w:r>
        <w:t>, RAN1#97, Reno, May 2019</w:t>
      </w:r>
      <w:bookmarkEnd w:id="48"/>
    </w:p>
    <w:p w14:paraId="40EF292C" w14:textId="0BB507A0" w:rsidR="007907BC" w:rsidRDefault="007907BC" w:rsidP="007907BC">
      <w:pPr>
        <w:pStyle w:val="Reference"/>
      </w:pPr>
      <w:bookmarkStart w:id="49" w:name="_Ref7504594"/>
      <w:bookmarkStart w:id="50" w:name="_GoBack"/>
      <w:bookmarkEnd w:id="50"/>
      <w:r w:rsidRPr="00026FD9">
        <w:t>R4-190</w:t>
      </w:r>
      <w:r w:rsidR="00026FD9" w:rsidRPr="00026FD9">
        <w:t>6456</w:t>
      </w:r>
      <w:r>
        <w:t xml:space="preserve">, </w:t>
      </w:r>
      <w:r w:rsidRPr="00E24B35">
        <w:t>Non-zero/</w:t>
      </w:r>
      <w:proofErr w:type="gramStart"/>
      <w:r w:rsidRPr="00E24B35">
        <w:t>non equal</w:t>
      </w:r>
      <w:proofErr w:type="gramEnd"/>
      <w:r w:rsidRPr="00E24B35">
        <w:t xml:space="preserve"> TA for RACH-less HO for NR mobility enhancement</w:t>
      </w:r>
      <w:r>
        <w:t>, Ericsson, RAN4#91, Reno, May 2019</w:t>
      </w:r>
      <w:bookmarkEnd w:id="49"/>
    </w:p>
    <w:p w14:paraId="5D2BC0FE" w14:textId="77777777" w:rsidR="00200C26" w:rsidRDefault="00200C26" w:rsidP="00200C26">
      <w:pPr>
        <w:pStyle w:val="Reference"/>
      </w:pPr>
      <w:bookmarkStart w:id="51" w:name="_Ref7762345"/>
      <w:r w:rsidRPr="00C871C1">
        <w:t>R1-1905780</w:t>
      </w:r>
      <w:r>
        <w:t xml:space="preserve">, </w:t>
      </w:r>
      <w:r w:rsidRPr="00C871C1">
        <w:t>Reply LS on NR mobility enhancements</w:t>
      </w:r>
      <w:r>
        <w:t>, RAN1, RAN1#96bis, Xian, April 2019</w:t>
      </w:r>
      <w:bookmarkEnd w:id="51"/>
    </w:p>
    <w:p w14:paraId="7297A637" w14:textId="77777777" w:rsidR="00200C26" w:rsidRDefault="00200C26" w:rsidP="00200C26">
      <w:pPr>
        <w:pStyle w:val="Reference"/>
      </w:pPr>
      <w:bookmarkStart w:id="52" w:name="_Ref7762131"/>
      <w:r w:rsidRPr="00C871C1">
        <w:t>R2-1902745</w:t>
      </w:r>
      <w:r>
        <w:t xml:space="preserve">, </w:t>
      </w:r>
      <w:r w:rsidRPr="00C871C1">
        <w:t>LS on NR mobility enhancements</w:t>
      </w:r>
      <w:r>
        <w:t>, RAN2, RAN2#106, Athens, March 2019</w:t>
      </w:r>
      <w:bookmarkEnd w:id="52"/>
    </w:p>
    <w:p w14:paraId="648A7649" w14:textId="77777777" w:rsidR="00200C26" w:rsidRPr="00CE0424" w:rsidRDefault="00200C26" w:rsidP="00200C26">
      <w:pPr>
        <w:pStyle w:val="Reference"/>
        <w:numPr>
          <w:ilvl w:val="0"/>
          <w:numId w:val="0"/>
        </w:numPr>
        <w:ind w:left="567"/>
      </w:pPr>
    </w:p>
    <w:bookmarkEnd w:id="34"/>
    <w:bookmarkEnd w:id="35"/>
    <w:p w14:paraId="0EC95EF5"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52284" w14:textId="77777777" w:rsidR="008F18D7" w:rsidRDefault="008F18D7">
      <w:r>
        <w:separator/>
      </w:r>
    </w:p>
  </w:endnote>
  <w:endnote w:type="continuationSeparator" w:id="0">
    <w:p w14:paraId="346E144F" w14:textId="77777777" w:rsidR="008F18D7" w:rsidRDefault="008F18D7">
      <w:r>
        <w:continuationSeparator/>
      </w:r>
    </w:p>
  </w:endnote>
  <w:endnote w:type="continuationNotice" w:id="1">
    <w:p w14:paraId="4549FFDF" w14:textId="77777777" w:rsidR="00FF4184" w:rsidRDefault="00FF4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8F18D7" w:rsidRDefault="008F18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79AA" w14:textId="77777777" w:rsidR="008F18D7" w:rsidRDefault="008F18D7">
      <w:r>
        <w:separator/>
      </w:r>
    </w:p>
  </w:footnote>
  <w:footnote w:type="continuationSeparator" w:id="0">
    <w:p w14:paraId="3C2FDBEE" w14:textId="77777777" w:rsidR="008F18D7" w:rsidRDefault="008F18D7">
      <w:r>
        <w:continuationSeparator/>
      </w:r>
    </w:p>
  </w:footnote>
  <w:footnote w:type="continuationNotice" w:id="1">
    <w:p w14:paraId="62251603" w14:textId="77777777" w:rsidR="00FF4184" w:rsidRDefault="00FF4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8F18D7" w:rsidRDefault="008F18D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FE0CCE"/>
    <w:multiLevelType w:val="hybridMultilevel"/>
    <w:tmpl w:val="CE16A3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C4BF7"/>
    <w:multiLevelType w:val="hybridMultilevel"/>
    <w:tmpl w:val="0EBC9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6"/>
  </w:num>
  <w:num w:numId="24">
    <w:abstractNumId w:val="9"/>
  </w:num>
  <w:num w:numId="25">
    <w:abstractNumId w:val="16"/>
  </w:num>
  <w:num w:numId="2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26FD9"/>
    <w:rsid w:val="000325B8"/>
    <w:rsid w:val="00032B19"/>
    <w:rsid w:val="00034C15"/>
    <w:rsid w:val="00036BA1"/>
    <w:rsid w:val="000422E2"/>
    <w:rsid w:val="00042F22"/>
    <w:rsid w:val="000444EF"/>
    <w:rsid w:val="00044F46"/>
    <w:rsid w:val="00045797"/>
    <w:rsid w:val="00052A07"/>
    <w:rsid w:val="000534E3"/>
    <w:rsid w:val="0005606A"/>
    <w:rsid w:val="00057117"/>
    <w:rsid w:val="0006070F"/>
    <w:rsid w:val="000616E7"/>
    <w:rsid w:val="000622DD"/>
    <w:rsid w:val="0006487E"/>
    <w:rsid w:val="00065E1A"/>
    <w:rsid w:val="00077E5F"/>
    <w:rsid w:val="0008036A"/>
    <w:rsid w:val="00081AE6"/>
    <w:rsid w:val="000855EB"/>
    <w:rsid w:val="00085B52"/>
    <w:rsid w:val="000866F2"/>
    <w:rsid w:val="0009009F"/>
    <w:rsid w:val="00091557"/>
    <w:rsid w:val="000915A1"/>
    <w:rsid w:val="000924C1"/>
    <w:rsid w:val="000924F0"/>
    <w:rsid w:val="00093474"/>
    <w:rsid w:val="0009510F"/>
    <w:rsid w:val="00097EA0"/>
    <w:rsid w:val="000A1B7B"/>
    <w:rsid w:val="000A56F2"/>
    <w:rsid w:val="000B2719"/>
    <w:rsid w:val="000B3A8F"/>
    <w:rsid w:val="000B4AB9"/>
    <w:rsid w:val="000B58C3"/>
    <w:rsid w:val="000B61E9"/>
    <w:rsid w:val="000C165A"/>
    <w:rsid w:val="000C2E19"/>
    <w:rsid w:val="000C6541"/>
    <w:rsid w:val="000D0D07"/>
    <w:rsid w:val="000D4797"/>
    <w:rsid w:val="000E030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9"/>
    <w:rsid w:val="00151E23"/>
    <w:rsid w:val="001526E0"/>
    <w:rsid w:val="001551B5"/>
    <w:rsid w:val="00161C93"/>
    <w:rsid w:val="001659C1"/>
    <w:rsid w:val="00173A8E"/>
    <w:rsid w:val="0017502C"/>
    <w:rsid w:val="0018143F"/>
    <w:rsid w:val="00181FF8"/>
    <w:rsid w:val="0018590C"/>
    <w:rsid w:val="00190AC1"/>
    <w:rsid w:val="0019341A"/>
    <w:rsid w:val="00197DF9"/>
    <w:rsid w:val="001A1987"/>
    <w:rsid w:val="001A2564"/>
    <w:rsid w:val="001A6173"/>
    <w:rsid w:val="001A6CBA"/>
    <w:rsid w:val="001B0D97"/>
    <w:rsid w:val="001B5A5D"/>
    <w:rsid w:val="001C1CE5"/>
    <w:rsid w:val="001C3D2A"/>
    <w:rsid w:val="001C5A8B"/>
    <w:rsid w:val="001D51BA"/>
    <w:rsid w:val="001D53E7"/>
    <w:rsid w:val="001D6342"/>
    <w:rsid w:val="001D6D53"/>
    <w:rsid w:val="001E4AB9"/>
    <w:rsid w:val="001E58E2"/>
    <w:rsid w:val="001E71CD"/>
    <w:rsid w:val="001E7AED"/>
    <w:rsid w:val="001F3916"/>
    <w:rsid w:val="001F54C5"/>
    <w:rsid w:val="001F662C"/>
    <w:rsid w:val="001F7074"/>
    <w:rsid w:val="00200490"/>
    <w:rsid w:val="002006C0"/>
    <w:rsid w:val="00200C26"/>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57E4B"/>
    <w:rsid w:val="002617E7"/>
    <w:rsid w:val="00264228"/>
    <w:rsid w:val="00264334"/>
    <w:rsid w:val="0026473E"/>
    <w:rsid w:val="00266214"/>
    <w:rsid w:val="00266BF7"/>
    <w:rsid w:val="00267C83"/>
    <w:rsid w:val="0027144F"/>
    <w:rsid w:val="00271813"/>
    <w:rsid w:val="00271F3A"/>
    <w:rsid w:val="00273278"/>
    <w:rsid w:val="002737F4"/>
    <w:rsid w:val="002805F5"/>
    <w:rsid w:val="00280751"/>
    <w:rsid w:val="0028280A"/>
    <w:rsid w:val="00286ACD"/>
    <w:rsid w:val="00287838"/>
    <w:rsid w:val="002907B5"/>
    <w:rsid w:val="0029289D"/>
    <w:rsid w:val="00292EB7"/>
    <w:rsid w:val="00296227"/>
    <w:rsid w:val="00296F44"/>
    <w:rsid w:val="0029777D"/>
    <w:rsid w:val="002A055E"/>
    <w:rsid w:val="002A1D4E"/>
    <w:rsid w:val="002A2869"/>
    <w:rsid w:val="002B24D6"/>
    <w:rsid w:val="002B2E91"/>
    <w:rsid w:val="002C41E6"/>
    <w:rsid w:val="002D071A"/>
    <w:rsid w:val="002D0F84"/>
    <w:rsid w:val="002D34B2"/>
    <w:rsid w:val="002D4314"/>
    <w:rsid w:val="002D48B0"/>
    <w:rsid w:val="002D5B37"/>
    <w:rsid w:val="002D7637"/>
    <w:rsid w:val="002E17F2"/>
    <w:rsid w:val="002E7AD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25A"/>
    <w:rsid w:val="00357380"/>
    <w:rsid w:val="003602D9"/>
    <w:rsid w:val="003604CE"/>
    <w:rsid w:val="00370E47"/>
    <w:rsid w:val="003742AC"/>
    <w:rsid w:val="00377CE1"/>
    <w:rsid w:val="00385BF0"/>
    <w:rsid w:val="003939FF"/>
    <w:rsid w:val="003A2223"/>
    <w:rsid w:val="003A258E"/>
    <w:rsid w:val="003A2A0F"/>
    <w:rsid w:val="003A45A1"/>
    <w:rsid w:val="003A5B0A"/>
    <w:rsid w:val="003A6BAC"/>
    <w:rsid w:val="003A70A4"/>
    <w:rsid w:val="003A7EF3"/>
    <w:rsid w:val="003B159C"/>
    <w:rsid w:val="003B369F"/>
    <w:rsid w:val="003B36A3"/>
    <w:rsid w:val="003B64BB"/>
    <w:rsid w:val="003B7C8A"/>
    <w:rsid w:val="003B7FE5"/>
    <w:rsid w:val="003C11C8"/>
    <w:rsid w:val="003C2702"/>
    <w:rsid w:val="003C6CEC"/>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189"/>
    <w:rsid w:val="004242F4"/>
    <w:rsid w:val="00427248"/>
    <w:rsid w:val="00434806"/>
    <w:rsid w:val="00437447"/>
    <w:rsid w:val="00441A92"/>
    <w:rsid w:val="004431DC"/>
    <w:rsid w:val="00444F56"/>
    <w:rsid w:val="00446488"/>
    <w:rsid w:val="004517AA"/>
    <w:rsid w:val="00452CAC"/>
    <w:rsid w:val="00457565"/>
    <w:rsid w:val="00457B71"/>
    <w:rsid w:val="00460A3B"/>
    <w:rsid w:val="00465510"/>
    <w:rsid w:val="004669E2"/>
    <w:rsid w:val="00470C31"/>
    <w:rsid w:val="00471DE0"/>
    <w:rsid w:val="004734D0"/>
    <w:rsid w:val="0047556B"/>
    <w:rsid w:val="00477768"/>
    <w:rsid w:val="00484C75"/>
    <w:rsid w:val="00492BC5"/>
    <w:rsid w:val="00492F68"/>
    <w:rsid w:val="004964F1"/>
    <w:rsid w:val="004A16BC"/>
    <w:rsid w:val="004A2B94"/>
    <w:rsid w:val="004B6F6A"/>
    <w:rsid w:val="004B7717"/>
    <w:rsid w:val="004B7C0C"/>
    <w:rsid w:val="004C3898"/>
    <w:rsid w:val="004D36B1"/>
    <w:rsid w:val="004D7EBD"/>
    <w:rsid w:val="004E2680"/>
    <w:rsid w:val="004E28F9"/>
    <w:rsid w:val="004E462E"/>
    <w:rsid w:val="004E56DC"/>
    <w:rsid w:val="004E76F4"/>
    <w:rsid w:val="004F0B4E"/>
    <w:rsid w:val="004F0B6C"/>
    <w:rsid w:val="004F2078"/>
    <w:rsid w:val="004F2EE3"/>
    <w:rsid w:val="004F4DA3"/>
    <w:rsid w:val="00506557"/>
    <w:rsid w:val="0050677A"/>
    <w:rsid w:val="005108D8"/>
    <w:rsid w:val="005116F9"/>
    <w:rsid w:val="005153A7"/>
    <w:rsid w:val="00521169"/>
    <w:rsid w:val="005219CF"/>
    <w:rsid w:val="00534B59"/>
    <w:rsid w:val="00536759"/>
    <w:rsid w:val="00537C62"/>
    <w:rsid w:val="00546970"/>
    <w:rsid w:val="00554E19"/>
    <w:rsid w:val="0056121F"/>
    <w:rsid w:val="00572505"/>
    <w:rsid w:val="00582809"/>
    <w:rsid w:val="0058798C"/>
    <w:rsid w:val="005900FA"/>
    <w:rsid w:val="005935A4"/>
    <w:rsid w:val="005936B8"/>
    <w:rsid w:val="005948C2"/>
    <w:rsid w:val="00595DCA"/>
    <w:rsid w:val="0059779B"/>
    <w:rsid w:val="005A17E2"/>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A94"/>
    <w:rsid w:val="006377EC"/>
    <w:rsid w:val="0064151F"/>
    <w:rsid w:val="00641533"/>
    <w:rsid w:val="0064208D"/>
    <w:rsid w:val="00643475"/>
    <w:rsid w:val="0064396A"/>
    <w:rsid w:val="00644F4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253"/>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17A"/>
    <w:rsid w:val="00785490"/>
    <w:rsid w:val="007907BC"/>
    <w:rsid w:val="007925EA"/>
    <w:rsid w:val="00793CD8"/>
    <w:rsid w:val="00795C92"/>
    <w:rsid w:val="00795CAC"/>
    <w:rsid w:val="00796231"/>
    <w:rsid w:val="007A118D"/>
    <w:rsid w:val="007A1CB3"/>
    <w:rsid w:val="007A306F"/>
    <w:rsid w:val="007A43A6"/>
    <w:rsid w:val="007A58A6"/>
    <w:rsid w:val="007B05B9"/>
    <w:rsid w:val="007B19EE"/>
    <w:rsid w:val="007B3D2D"/>
    <w:rsid w:val="007B50AE"/>
    <w:rsid w:val="007B51DF"/>
    <w:rsid w:val="007C05DD"/>
    <w:rsid w:val="007C3D18"/>
    <w:rsid w:val="007C4C4E"/>
    <w:rsid w:val="007C60BF"/>
    <w:rsid w:val="007C6A07"/>
    <w:rsid w:val="007C75A1"/>
    <w:rsid w:val="007C77A5"/>
    <w:rsid w:val="007D04E5"/>
    <w:rsid w:val="007D4865"/>
    <w:rsid w:val="007D5901"/>
    <w:rsid w:val="007D7526"/>
    <w:rsid w:val="007E4610"/>
    <w:rsid w:val="007E4715"/>
    <w:rsid w:val="007E4E19"/>
    <w:rsid w:val="007E505B"/>
    <w:rsid w:val="007E7091"/>
    <w:rsid w:val="007F750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BA9"/>
    <w:rsid w:val="008F18D7"/>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07EC"/>
    <w:rsid w:val="00931BD9"/>
    <w:rsid w:val="009368F3"/>
    <w:rsid w:val="00941636"/>
    <w:rsid w:val="00943742"/>
    <w:rsid w:val="00945C05"/>
    <w:rsid w:val="00946945"/>
    <w:rsid w:val="00947713"/>
    <w:rsid w:val="00950DE7"/>
    <w:rsid w:val="00953920"/>
    <w:rsid w:val="00953B87"/>
    <w:rsid w:val="00953D47"/>
    <w:rsid w:val="0095681E"/>
    <w:rsid w:val="009572D4"/>
    <w:rsid w:val="00961921"/>
    <w:rsid w:val="0096430A"/>
    <w:rsid w:val="0096554B"/>
    <w:rsid w:val="0096584A"/>
    <w:rsid w:val="00967BFB"/>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C4B"/>
    <w:rsid w:val="009E068F"/>
    <w:rsid w:val="009E14E0"/>
    <w:rsid w:val="009E35DB"/>
    <w:rsid w:val="009E47A3"/>
    <w:rsid w:val="009F08F3"/>
    <w:rsid w:val="009F344F"/>
    <w:rsid w:val="00A031D8"/>
    <w:rsid w:val="00A048A8"/>
    <w:rsid w:val="00A04F49"/>
    <w:rsid w:val="00A12A80"/>
    <w:rsid w:val="00A13E54"/>
    <w:rsid w:val="00A17F63"/>
    <w:rsid w:val="00A2193B"/>
    <w:rsid w:val="00A2351A"/>
    <w:rsid w:val="00A264A9"/>
    <w:rsid w:val="00A26DCF"/>
    <w:rsid w:val="00A27785"/>
    <w:rsid w:val="00A30187"/>
    <w:rsid w:val="00A3448A"/>
    <w:rsid w:val="00A36297"/>
    <w:rsid w:val="00A41E2B"/>
    <w:rsid w:val="00A45B74"/>
    <w:rsid w:val="00A51531"/>
    <w:rsid w:val="00A52E1D"/>
    <w:rsid w:val="00A61499"/>
    <w:rsid w:val="00A62A77"/>
    <w:rsid w:val="00A63483"/>
    <w:rsid w:val="00A657D7"/>
    <w:rsid w:val="00A660AC"/>
    <w:rsid w:val="00A67E6C"/>
    <w:rsid w:val="00A71B99"/>
    <w:rsid w:val="00A739D0"/>
    <w:rsid w:val="00A761D4"/>
    <w:rsid w:val="00A77EC4"/>
    <w:rsid w:val="00A92879"/>
    <w:rsid w:val="00A9442A"/>
    <w:rsid w:val="00A9591B"/>
    <w:rsid w:val="00AA016F"/>
    <w:rsid w:val="00AA1ED6"/>
    <w:rsid w:val="00AA51D6"/>
    <w:rsid w:val="00AB0BC8"/>
    <w:rsid w:val="00AB11CA"/>
    <w:rsid w:val="00AB14D9"/>
    <w:rsid w:val="00AB4AB8"/>
    <w:rsid w:val="00AB655E"/>
    <w:rsid w:val="00AB7127"/>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8B5"/>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745"/>
    <w:rsid w:val="00BB2A25"/>
    <w:rsid w:val="00BB51E9"/>
    <w:rsid w:val="00BC0C8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874"/>
    <w:rsid w:val="00C2367F"/>
    <w:rsid w:val="00C279B5"/>
    <w:rsid w:val="00C27C45"/>
    <w:rsid w:val="00C3719D"/>
    <w:rsid w:val="00C37CB2"/>
    <w:rsid w:val="00C410FC"/>
    <w:rsid w:val="00C473A5"/>
    <w:rsid w:val="00C54995"/>
    <w:rsid w:val="00C54D41"/>
    <w:rsid w:val="00C60783"/>
    <w:rsid w:val="00C645F5"/>
    <w:rsid w:val="00C64672"/>
    <w:rsid w:val="00C70697"/>
    <w:rsid w:val="00C72093"/>
    <w:rsid w:val="00C72EF4"/>
    <w:rsid w:val="00C744FE"/>
    <w:rsid w:val="00C75D2F"/>
    <w:rsid w:val="00C767BE"/>
    <w:rsid w:val="00C76E3C"/>
    <w:rsid w:val="00C81568"/>
    <w:rsid w:val="00C87C4F"/>
    <w:rsid w:val="00C9027A"/>
    <w:rsid w:val="00C9068E"/>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191C"/>
    <w:rsid w:val="00CF2719"/>
    <w:rsid w:val="00CF3B1F"/>
    <w:rsid w:val="00CF3BF6"/>
    <w:rsid w:val="00CF625B"/>
    <w:rsid w:val="00CF687E"/>
    <w:rsid w:val="00D0349B"/>
    <w:rsid w:val="00D10249"/>
    <w:rsid w:val="00D115C3"/>
    <w:rsid w:val="00D11897"/>
    <w:rsid w:val="00D13135"/>
    <w:rsid w:val="00D13E4E"/>
    <w:rsid w:val="00D239A7"/>
    <w:rsid w:val="00D23F47"/>
    <w:rsid w:val="00D31158"/>
    <w:rsid w:val="00D36E71"/>
    <w:rsid w:val="00D37D87"/>
    <w:rsid w:val="00D40B33"/>
    <w:rsid w:val="00D4318F"/>
    <w:rsid w:val="00D438BF"/>
    <w:rsid w:val="00D440F8"/>
    <w:rsid w:val="00D45AB3"/>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87F"/>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585"/>
    <w:rsid w:val="00E110E7"/>
    <w:rsid w:val="00E11B20"/>
    <w:rsid w:val="00E17FA2"/>
    <w:rsid w:val="00E22330"/>
    <w:rsid w:val="00E230E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F68"/>
    <w:rsid w:val="00E63838"/>
    <w:rsid w:val="00E64434"/>
    <w:rsid w:val="00E67C51"/>
    <w:rsid w:val="00E72EFC"/>
    <w:rsid w:val="00E758EC"/>
    <w:rsid w:val="00E80494"/>
    <w:rsid w:val="00E8234C"/>
    <w:rsid w:val="00E83AA9"/>
    <w:rsid w:val="00E85928"/>
    <w:rsid w:val="00E87822"/>
    <w:rsid w:val="00E90395"/>
    <w:rsid w:val="00E90E49"/>
    <w:rsid w:val="00E917F9"/>
    <w:rsid w:val="00E9291C"/>
    <w:rsid w:val="00E93FFE"/>
    <w:rsid w:val="00E94F8A"/>
    <w:rsid w:val="00E95677"/>
    <w:rsid w:val="00EA1409"/>
    <w:rsid w:val="00EA7A41"/>
    <w:rsid w:val="00EB077B"/>
    <w:rsid w:val="00EB4EA2"/>
    <w:rsid w:val="00EC24D5"/>
    <w:rsid w:val="00EC27C6"/>
    <w:rsid w:val="00EC4207"/>
    <w:rsid w:val="00EC5653"/>
    <w:rsid w:val="00EC71CE"/>
    <w:rsid w:val="00ED1006"/>
    <w:rsid w:val="00ED7671"/>
    <w:rsid w:val="00EF18FE"/>
    <w:rsid w:val="00EF5787"/>
    <w:rsid w:val="00EF60D0"/>
    <w:rsid w:val="00F0528D"/>
    <w:rsid w:val="00F06C67"/>
    <w:rsid w:val="00F06DFD"/>
    <w:rsid w:val="00F071D1"/>
    <w:rsid w:val="00F07533"/>
    <w:rsid w:val="00F10629"/>
    <w:rsid w:val="00F15FA5"/>
    <w:rsid w:val="00F209B7"/>
    <w:rsid w:val="00F2376F"/>
    <w:rsid w:val="00F243D8"/>
    <w:rsid w:val="00F26A59"/>
    <w:rsid w:val="00F30828"/>
    <w:rsid w:val="00F313D6"/>
    <w:rsid w:val="00F327DB"/>
    <w:rsid w:val="00F40F0C"/>
    <w:rsid w:val="00F474A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8D4"/>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4A9"/>
    <w:rsid w:val="00FD47ED"/>
    <w:rsid w:val="00FD74DB"/>
    <w:rsid w:val="00FD7660"/>
    <w:rsid w:val="00FE0655"/>
    <w:rsid w:val="00FE2365"/>
    <w:rsid w:val="00FE37D7"/>
    <w:rsid w:val="00FE4C7B"/>
    <w:rsid w:val="00FE7336"/>
    <w:rsid w:val="00FE787C"/>
    <w:rsid w:val="00FF18C2"/>
    <w:rsid w:val="00FF418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118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A11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A118D"/>
    <w:pPr>
      <w:pBdr>
        <w:top w:val="none" w:sz="0" w:space="0" w:color="auto"/>
      </w:pBdr>
      <w:spacing w:before="180"/>
      <w:outlineLvl w:val="1"/>
    </w:pPr>
    <w:rPr>
      <w:sz w:val="32"/>
    </w:rPr>
  </w:style>
  <w:style w:type="paragraph" w:styleId="Heading3">
    <w:name w:val="heading 3"/>
    <w:basedOn w:val="Heading2"/>
    <w:next w:val="Normal"/>
    <w:link w:val="Heading3Char"/>
    <w:qFormat/>
    <w:rsid w:val="007A118D"/>
    <w:pPr>
      <w:spacing w:before="120"/>
      <w:outlineLvl w:val="2"/>
    </w:pPr>
    <w:rPr>
      <w:sz w:val="28"/>
    </w:rPr>
  </w:style>
  <w:style w:type="paragraph" w:styleId="Heading4">
    <w:name w:val="heading 4"/>
    <w:basedOn w:val="Heading3"/>
    <w:next w:val="Normal"/>
    <w:link w:val="Heading4Char"/>
    <w:qFormat/>
    <w:rsid w:val="007A118D"/>
    <w:pPr>
      <w:ind w:left="1418" w:hanging="1418"/>
      <w:outlineLvl w:val="3"/>
    </w:pPr>
    <w:rPr>
      <w:sz w:val="24"/>
    </w:rPr>
  </w:style>
  <w:style w:type="paragraph" w:styleId="Heading5">
    <w:name w:val="heading 5"/>
    <w:basedOn w:val="Heading4"/>
    <w:next w:val="Normal"/>
    <w:link w:val="Heading5Char"/>
    <w:qFormat/>
    <w:rsid w:val="007A118D"/>
    <w:pPr>
      <w:ind w:left="1701" w:hanging="1701"/>
      <w:outlineLvl w:val="4"/>
    </w:pPr>
    <w:rPr>
      <w:sz w:val="22"/>
    </w:rPr>
  </w:style>
  <w:style w:type="paragraph" w:styleId="Heading6">
    <w:name w:val="heading 6"/>
    <w:basedOn w:val="H6"/>
    <w:next w:val="Normal"/>
    <w:link w:val="Heading6Char"/>
    <w:qFormat/>
    <w:rsid w:val="007A118D"/>
    <w:pPr>
      <w:outlineLvl w:val="5"/>
    </w:pPr>
  </w:style>
  <w:style w:type="paragraph" w:styleId="Heading7">
    <w:name w:val="heading 7"/>
    <w:basedOn w:val="H6"/>
    <w:next w:val="Normal"/>
    <w:link w:val="Heading7Char"/>
    <w:qFormat/>
    <w:rsid w:val="007A118D"/>
    <w:pPr>
      <w:outlineLvl w:val="6"/>
    </w:pPr>
  </w:style>
  <w:style w:type="paragraph" w:styleId="Heading8">
    <w:name w:val="heading 8"/>
    <w:basedOn w:val="Heading1"/>
    <w:next w:val="Normal"/>
    <w:link w:val="Heading8Char"/>
    <w:qFormat/>
    <w:rsid w:val="007A118D"/>
    <w:pPr>
      <w:ind w:left="0" w:firstLine="0"/>
      <w:outlineLvl w:val="7"/>
    </w:pPr>
  </w:style>
  <w:style w:type="paragraph" w:styleId="Heading9">
    <w:name w:val="heading 9"/>
    <w:basedOn w:val="Heading8"/>
    <w:next w:val="Normal"/>
    <w:link w:val="Heading9Char"/>
    <w:qFormat/>
    <w:rsid w:val="007A118D"/>
    <w:pPr>
      <w:outlineLvl w:val="8"/>
    </w:pPr>
  </w:style>
  <w:style w:type="character" w:default="1" w:styleId="DefaultParagraphFont">
    <w:name w:val="Default Paragraph Font"/>
    <w:uiPriority w:val="1"/>
    <w:semiHidden/>
    <w:unhideWhenUsed/>
    <w:rsid w:val="007A11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118D"/>
  </w:style>
  <w:style w:type="paragraph" w:styleId="TOC8">
    <w:name w:val="toc 8"/>
    <w:basedOn w:val="TOC1"/>
    <w:uiPriority w:val="39"/>
    <w:rsid w:val="007A118D"/>
    <w:pPr>
      <w:spacing w:before="180"/>
      <w:ind w:left="2693" w:hanging="2693"/>
    </w:pPr>
    <w:rPr>
      <w:b/>
    </w:rPr>
  </w:style>
  <w:style w:type="paragraph" w:styleId="TOC1">
    <w:name w:val="toc 1"/>
    <w:uiPriority w:val="39"/>
    <w:rsid w:val="007A11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A118D"/>
    <w:pPr>
      <w:keepNext/>
      <w:keepLines/>
      <w:spacing w:before="180"/>
      <w:jc w:val="center"/>
    </w:pPr>
  </w:style>
  <w:style w:type="paragraph" w:styleId="Caption">
    <w:name w:val="caption"/>
    <w:basedOn w:val="Normal"/>
    <w:next w:val="Normal"/>
    <w:qFormat/>
    <w:rsid w:val="007A118D"/>
    <w:pPr>
      <w:spacing w:before="120" w:after="120"/>
    </w:pPr>
    <w:rPr>
      <w:b/>
      <w:lang w:eastAsia="en-GB"/>
    </w:rPr>
  </w:style>
  <w:style w:type="paragraph" w:styleId="TOC5">
    <w:name w:val="toc 5"/>
    <w:basedOn w:val="TOC4"/>
    <w:uiPriority w:val="39"/>
    <w:rsid w:val="007A118D"/>
    <w:pPr>
      <w:ind w:left="1701" w:hanging="1701"/>
    </w:pPr>
  </w:style>
  <w:style w:type="paragraph" w:styleId="TOC4">
    <w:name w:val="toc 4"/>
    <w:basedOn w:val="TOC3"/>
    <w:uiPriority w:val="39"/>
    <w:rsid w:val="007A118D"/>
    <w:pPr>
      <w:ind w:left="1418" w:hanging="1418"/>
    </w:pPr>
  </w:style>
  <w:style w:type="paragraph" w:styleId="TOC3">
    <w:name w:val="toc 3"/>
    <w:basedOn w:val="TOC2"/>
    <w:uiPriority w:val="39"/>
    <w:rsid w:val="007A118D"/>
    <w:pPr>
      <w:ind w:left="1134" w:hanging="1134"/>
    </w:pPr>
  </w:style>
  <w:style w:type="paragraph" w:styleId="TOC2">
    <w:name w:val="toc 2"/>
    <w:basedOn w:val="TOC1"/>
    <w:uiPriority w:val="39"/>
    <w:rsid w:val="007A118D"/>
    <w:pPr>
      <w:keepNext w:val="0"/>
      <w:spacing w:before="0"/>
      <w:ind w:left="851" w:hanging="851"/>
    </w:pPr>
    <w:rPr>
      <w:sz w:val="20"/>
    </w:rPr>
  </w:style>
  <w:style w:type="paragraph" w:styleId="Index2">
    <w:name w:val="index 2"/>
    <w:basedOn w:val="Index1"/>
    <w:rsid w:val="007A118D"/>
    <w:pPr>
      <w:ind w:left="284"/>
    </w:pPr>
  </w:style>
  <w:style w:type="paragraph" w:styleId="Index1">
    <w:name w:val="index 1"/>
    <w:basedOn w:val="Normal"/>
    <w:rsid w:val="007A118D"/>
    <w:pPr>
      <w:keepLines/>
      <w:spacing w:after="0"/>
    </w:pPr>
  </w:style>
  <w:style w:type="paragraph" w:styleId="DocumentMap">
    <w:name w:val="Document Map"/>
    <w:basedOn w:val="Normal"/>
    <w:link w:val="DocumentMapChar"/>
    <w:rsid w:val="007A118D"/>
    <w:pPr>
      <w:shd w:val="clear" w:color="auto" w:fill="000080"/>
    </w:pPr>
    <w:rPr>
      <w:rFonts w:ascii="Tahoma" w:hAnsi="Tahoma" w:cs="Tahoma"/>
    </w:rPr>
  </w:style>
  <w:style w:type="paragraph" w:styleId="ListNumber2">
    <w:name w:val="List Number 2"/>
    <w:basedOn w:val="ListNumber"/>
    <w:rsid w:val="007A118D"/>
    <w:pPr>
      <w:numPr>
        <w:numId w:val="22"/>
      </w:numPr>
    </w:pPr>
  </w:style>
  <w:style w:type="paragraph" w:styleId="ListNumber">
    <w:name w:val="List Number"/>
    <w:basedOn w:val="List"/>
    <w:rsid w:val="007A118D"/>
    <w:pPr>
      <w:numPr>
        <w:numId w:val="21"/>
      </w:numPr>
    </w:pPr>
    <w:rPr>
      <w:lang w:eastAsia="ja-JP"/>
    </w:rPr>
  </w:style>
  <w:style w:type="paragraph" w:styleId="List">
    <w:name w:val="List"/>
    <w:basedOn w:val="BodyText"/>
    <w:rsid w:val="007A118D"/>
    <w:pPr>
      <w:ind w:left="568" w:hanging="284"/>
    </w:pPr>
  </w:style>
  <w:style w:type="paragraph" w:styleId="Header">
    <w:name w:val="header"/>
    <w:link w:val="HeaderChar"/>
    <w:rsid w:val="007A118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A118D"/>
    <w:rPr>
      <w:b/>
      <w:position w:val="6"/>
      <w:sz w:val="16"/>
    </w:rPr>
  </w:style>
  <w:style w:type="paragraph" w:styleId="FootnoteText">
    <w:name w:val="footnote text"/>
    <w:basedOn w:val="Normal"/>
    <w:link w:val="FootnoteTextChar"/>
    <w:rsid w:val="007A118D"/>
    <w:pPr>
      <w:keepLines/>
      <w:spacing w:after="0"/>
      <w:ind w:left="454" w:hanging="454"/>
    </w:pPr>
    <w:rPr>
      <w:sz w:val="16"/>
    </w:rPr>
  </w:style>
  <w:style w:type="paragraph" w:customStyle="1" w:styleId="3GPPHeader">
    <w:name w:val="3GPP_Header"/>
    <w:basedOn w:val="BodyText"/>
    <w:rsid w:val="007A118D"/>
    <w:pPr>
      <w:tabs>
        <w:tab w:val="left" w:pos="1701"/>
        <w:tab w:val="right" w:pos="9639"/>
      </w:tabs>
      <w:spacing w:after="240"/>
    </w:pPr>
    <w:rPr>
      <w:b/>
      <w:sz w:val="24"/>
    </w:rPr>
  </w:style>
  <w:style w:type="paragraph" w:styleId="TOC9">
    <w:name w:val="toc 9"/>
    <w:basedOn w:val="TOC8"/>
    <w:uiPriority w:val="39"/>
    <w:rsid w:val="007A118D"/>
    <w:pPr>
      <w:ind w:left="1418" w:hanging="1418"/>
    </w:pPr>
  </w:style>
  <w:style w:type="paragraph" w:styleId="TOC6">
    <w:name w:val="toc 6"/>
    <w:basedOn w:val="TOC5"/>
    <w:next w:val="Normal"/>
    <w:uiPriority w:val="39"/>
    <w:rsid w:val="007A118D"/>
    <w:pPr>
      <w:ind w:left="1985" w:hanging="1985"/>
    </w:pPr>
  </w:style>
  <w:style w:type="paragraph" w:styleId="TOC7">
    <w:name w:val="toc 7"/>
    <w:basedOn w:val="TOC6"/>
    <w:next w:val="Normal"/>
    <w:uiPriority w:val="39"/>
    <w:rsid w:val="007A118D"/>
    <w:pPr>
      <w:ind w:left="2268" w:hanging="2268"/>
    </w:pPr>
  </w:style>
  <w:style w:type="paragraph" w:styleId="ListBullet2">
    <w:name w:val="List Bullet 2"/>
    <w:basedOn w:val="ListBullet"/>
    <w:rsid w:val="007A118D"/>
    <w:pPr>
      <w:numPr>
        <w:numId w:val="17"/>
      </w:numPr>
    </w:pPr>
  </w:style>
  <w:style w:type="paragraph" w:styleId="ListBullet">
    <w:name w:val="List Bullet"/>
    <w:basedOn w:val="List"/>
    <w:rsid w:val="007A118D"/>
    <w:pPr>
      <w:numPr>
        <w:numId w:val="16"/>
      </w:numPr>
    </w:pPr>
    <w:rPr>
      <w:lang w:eastAsia="ja-JP"/>
    </w:rPr>
  </w:style>
  <w:style w:type="paragraph" w:styleId="ListBullet3">
    <w:name w:val="List Bullet 3"/>
    <w:basedOn w:val="ListBullet2"/>
    <w:rsid w:val="007A118D"/>
    <w:pPr>
      <w:numPr>
        <w:numId w:val="18"/>
      </w:numPr>
    </w:pPr>
  </w:style>
  <w:style w:type="paragraph" w:customStyle="1" w:styleId="EQ">
    <w:name w:val="EQ"/>
    <w:basedOn w:val="Normal"/>
    <w:next w:val="Normal"/>
    <w:rsid w:val="007A118D"/>
    <w:pPr>
      <w:keepLines/>
      <w:tabs>
        <w:tab w:val="center" w:pos="4536"/>
        <w:tab w:val="right" w:pos="9072"/>
      </w:tabs>
    </w:pPr>
    <w:rPr>
      <w:noProof/>
    </w:rPr>
  </w:style>
  <w:style w:type="paragraph" w:styleId="List2">
    <w:name w:val="List 2"/>
    <w:basedOn w:val="List"/>
    <w:rsid w:val="007A118D"/>
    <w:pPr>
      <w:ind w:left="851"/>
    </w:pPr>
    <w:rPr>
      <w:lang w:eastAsia="ja-JP"/>
    </w:rPr>
  </w:style>
  <w:style w:type="paragraph" w:styleId="List3">
    <w:name w:val="List 3"/>
    <w:basedOn w:val="List2"/>
    <w:rsid w:val="007A118D"/>
    <w:pPr>
      <w:ind w:left="1135"/>
    </w:pPr>
  </w:style>
  <w:style w:type="paragraph" w:styleId="List4">
    <w:name w:val="List 4"/>
    <w:basedOn w:val="List3"/>
    <w:rsid w:val="007A118D"/>
    <w:pPr>
      <w:ind w:left="1418"/>
    </w:pPr>
  </w:style>
  <w:style w:type="paragraph" w:styleId="List5">
    <w:name w:val="List 5"/>
    <w:basedOn w:val="List4"/>
    <w:rsid w:val="007A118D"/>
    <w:pPr>
      <w:ind w:left="1702"/>
    </w:pPr>
  </w:style>
  <w:style w:type="paragraph" w:customStyle="1" w:styleId="EditorsNote">
    <w:name w:val="Editor's Note"/>
    <w:basedOn w:val="NO"/>
    <w:link w:val="EditorsNoteChar"/>
    <w:rsid w:val="007A118D"/>
    <w:rPr>
      <w:color w:val="FF0000"/>
      <w:lang w:val="x-none" w:eastAsia="x-none"/>
    </w:rPr>
  </w:style>
  <w:style w:type="paragraph" w:styleId="ListBullet4">
    <w:name w:val="List Bullet 4"/>
    <w:basedOn w:val="ListBullet3"/>
    <w:rsid w:val="007A118D"/>
    <w:pPr>
      <w:numPr>
        <w:numId w:val="19"/>
      </w:numPr>
    </w:pPr>
  </w:style>
  <w:style w:type="paragraph" w:styleId="ListBullet5">
    <w:name w:val="List Bullet 5"/>
    <w:basedOn w:val="ListBullet4"/>
    <w:rsid w:val="007A118D"/>
    <w:pPr>
      <w:numPr>
        <w:numId w:val="20"/>
      </w:numPr>
    </w:pPr>
  </w:style>
  <w:style w:type="paragraph" w:styleId="Footer">
    <w:name w:val="footer"/>
    <w:basedOn w:val="Header"/>
    <w:link w:val="FooterChar"/>
    <w:rsid w:val="007A118D"/>
    <w:pPr>
      <w:jc w:val="center"/>
    </w:pPr>
    <w:rPr>
      <w:i/>
    </w:rPr>
  </w:style>
  <w:style w:type="paragraph" w:customStyle="1" w:styleId="Reference">
    <w:name w:val="Reference"/>
    <w:basedOn w:val="BodyText"/>
    <w:rsid w:val="007A118D"/>
    <w:pPr>
      <w:numPr>
        <w:numId w:val="2"/>
      </w:numPr>
    </w:pPr>
  </w:style>
  <w:style w:type="paragraph" w:styleId="BalloonText">
    <w:name w:val="Balloon Text"/>
    <w:basedOn w:val="Normal"/>
    <w:link w:val="BalloonTextChar"/>
    <w:rsid w:val="007A118D"/>
    <w:pPr>
      <w:spacing w:after="0"/>
    </w:pPr>
    <w:rPr>
      <w:rFonts w:ascii="Segoe UI" w:hAnsi="Segoe UI" w:cs="Segoe UI"/>
      <w:sz w:val="18"/>
      <w:szCs w:val="18"/>
    </w:rPr>
  </w:style>
  <w:style w:type="character" w:styleId="PageNumber">
    <w:name w:val="page number"/>
    <w:basedOn w:val="DefaultParagraphFont"/>
    <w:rsid w:val="007A118D"/>
  </w:style>
  <w:style w:type="paragraph" w:styleId="BodyText">
    <w:name w:val="Body Text"/>
    <w:basedOn w:val="Normal"/>
    <w:link w:val="BodyTextChar"/>
    <w:rsid w:val="007A118D"/>
    <w:pPr>
      <w:spacing w:after="120"/>
      <w:jc w:val="both"/>
    </w:pPr>
    <w:rPr>
      <w:rFonts w:ascii="Arial" w:hAnsi="Arial"/>
      <w:lang w:eastAsia="zh-CN"/>
    </w:rPr>
  </w:style>
  <w:style w:type="character" w:styleId="Hyperlink">
    <w:name w:val="Hyperlink"/>
    <w:uiPriority w:val="99"/>
    <w:rsid w:val="007A118D"/>
    <w:rPr>
      <w:color w:val="0000FF"/>
      <w:u w:val="single"/>
    </w:rPr>
  </w:style>
  <w:style w:type="character" w:styleId="FollowedHyperlink">
    <w:name w:val="FollowedHyperlink"/>
    <w:unhideWhenUsed/>
    <w:rsid w:val="007A118D"/>
    <w:rPr>
      <w:color w:val="800080"/>
      <w:u w:val="single"/>
    </w:rPr>
  </w:style>
  <w:style w:type="character" w:styleId="CommentReference">
    <w:name w:val="annotation reference"/>
    <w:uiPriority w:val="99"/>
    <w:qFormat/>
    <w:rsid w:val="007A118D"/>
    <w:rPr>
      <w:sz w:val="16"/>
      <w:szCs w:val="16"/>
    </w:rPr>
  </w:style>
  <w:style w:type="paragraph" w:styleId="CommentText">
    <w:name w:val="annotation text"/>
    <w:basedOn w:val="Normal"/>
    <w:link w:val="CommentTextChar"/>
    <w:uiPriority w:val="99"/>
    <w:qFormat/>
    <w:rsid w:val="007A118D"/>
  </w:style>
  <w:style w:type="paragraph" w:styleId="CommentSubject">
    <w:name w:val="annotation subject"/>
    <w:basedOn w:val="CommentText"/>
    <w:next w:val="CommentText"/>
    <w:link w:val="CommentSubjectChar"/>
    <w:rsid w:val="007A118D"/>
    <w:rPr>
      <w:b/>
      <w:bCs/>
    </w:rPr>
  </w:style>
  <w:style w:type="character" w:customStyle="1" w:styleId="Heading1Char">
    <w:name w:val="Heading 1 Char"/>
    <w:link w:val="Heading1"/>
    <w:rsid w:val="007A118D"/>
    <w:rPr>
      <w:rFonts w:ascii="Arial" w:hAnsi="Arial"/>
      <w:sz w:val="36"/>
      <w:lang w:eastAsia="ja-JP"/>
    </w:rPr>
  </w:style>
  <w:style w:type="paragraph" w:customStyle="1" w:styleId="B1">
    <w:name w:val="B1"/>
    <w:basedOn w:val="List"/>
    <w:link w:val="B1Char1"/>
    <w:rsid w:val="007A118D"/>
    <w:rPr>
      <w:rFonts w:ascii="Times New Roman" w:hAnsi="Times New Roman"/>
    </w:rPr>
  </w:style>
  <w:style w:type="paragraph" w:customStyle="1" w:styleId="B2">
    <w:name w:val="B2"/>
    <w:basedOn w:val="List2"/>
    <w:link w:val="B2Char"/>
    <w:rsid w:val="007A118D"/>
    <w:rPr>
      <w:rFonts w:ascii="Times New Roman" w:hAnsi="Times New Roman"/>
    </w:rPr>
  </w:style>
  <w:style w:type="paragraph" w:customStyle="1" w:styleId="B3">
    <w:name w:val="B3"/>
    <w:basedOn w:val="List3"/>
    <w:link w:val="B3Char2"/>
    <w:rsid w:val="007A118D"/>
    <w:rPr>
      <w:rFonts w:ascii="Times New Roman" w:hAnsi="Times New Roman"/>
    </w:rPr>
  </w:style>
  <w:style w:type="paragraph" w:customStyle="1" w:styleId="B4">
    <w:name w:val="B4"/>
    <w:basedOn w:val="List4"/>
    <w:link w:val="B4Char"/>
    <w:rsid w:val="007A118D"/>
    <w:rPr>
      <w:rFonts w:ascii="Times New Roman" w:hAnsi="Times New Roman"/>
    </w:rPr>
  </w:style>
  <w:style w:type="paragraph" w:customStyle="1" w:styleId="Proposal">
    <w:name w:val="Proposal"/>
    <w:basedOn w:val="BodyText"/>
    <w:rsid w:val="007A118D"/>
    <w:pPr>
      <w:numPr>
        <w:numId w:val="3"/>
      </w:numPr>
      <w:tabs>
        <w:tab w:val="clear" w:pos="1304"/>
        <w:tab w:val="left" w:pos="1701"/>
      </w:tabs>
      <w:ind w:left="1701" w:hanging="1701"/>
    </w:pPr>
    <w:rPr>
      <w:b/>
      <w:bCs/>
    </w:rPr>
  </w:style>
  <w:style w:type="character" w:customStyle="1" w:styleId="BodyTextChar">
    <w:name w:val="Body Text Char"/>
    <w:link w:val="BodyText"/>
    <w:rsid w:val="007A118D"/>
    <w:rPr>
      <w:rFonts w:ascii="Arial" w:hAnsi="Arial"/>
      <w:lang w:eastAsia="zh-CN"/>
    </w:rPr>
  </w:style>
  <w:style w:type="paragraph" w:customStyle="1" w:styleId="B5">
    <w:name w:val="B5"/>
    <w:basedOn w:val="List5"/>
    <w:link w:val="B5Char"/>
    <w:rsid w:val="007A118D"/>
    <w:rPr>
      <w:rFonts w:ascii="Times New Roman" w:hAnsi="Times New Roman"/>
    </w:rPr>
  </w:style>
  <w:style w:type="paragraph" w:customStyle="1" w:styleId="EX">
    <w:name w:val="EX"/>
    <w:basedOn w:val="Normal"/>
    <w:rsid w:val="007A118D"/>
    <w:pPr>
      <w:keepLines/>
      <w:ind w:left="1702" w:hanging="1418"/>
    </w:pPr>
  </w:style>
  <w:style w:type="paragraph" w:customStyle="1" w:styleId="EW">
    <w:name w:val="EW"/>
    <w:basedOn w:val="EX"/>
    <w:rsid w:val="007A118D"/>
    <w:pPr>
      <w:spacing w:after="0"/>
    </w:pPr>
  </w:style>
  <w:style w:type="paragraph" w:customStyle="1" w:styleId="TAL">
    <w:name w:val="TAL"/>
    <w:basedOn w:val="Normal"/>
    <w:link w:val="TALCar"/>
    <w:rsid w:val="007A118D"/>
    <w:pPr>
      <w:keepNext/>
      <w:keepLines/>
      <w:spacing w:after="0"/>
    </w:pPr>
    <w:rPr>
      <w:rFonts w:ascii="Arial" w:hAnsi="Arial"/>
      <w:sz w:val="18"/>
      <w:lang w:val="x-none" w:eastAsia="x-none"/>
    </w:rPr>
  </w:style>
  <w:style w:type="paragraph" w:customStyle="1" w:styleId="TAC">
    <w:name w:val="TAC"/>
    <w:basedOn w:val="TAL"/>
    <w:rsid w:val="007A118D"/>
    <w:pPr>
      <w:jc w:val="center"/>
    </w:pPr>
  </w:style>
  <w:style w:type="paragraph" w:customStyle="1" w:styleId="TAH">
    <w:name w:val="TAH"/>
    <w:basedOn w:val="TAC"/>
    <w:link w:val="TAHCar"/>
    <w:rsid w:val="007A118D"/>
    <w:rPr>
      <w:b/>
    </w:rPr>
  </w:style>
  <w:style w:type="paragraph" w:customStyle="1" w:styleId="TAN">
    <w:name w:val="TAN"/>
    <w:basedOn w:val="TAL"/>
    <w:rsid w:val="007A118D"/>
    <w:pPr>
      <w:ind w:left="851" w:hanging="851"/>
    </w:pPr>
  </w:style>
  <w:style w:type="paragraph" w:customStyle="1" w:styleId="TAR">
    <w:name w:val="TAR"/>
    <w:basedOn w:val="TAL"/>
    <w:rsid w:val="007A118D"/>
    <w:pPr>
      <w:jc w:val="right"/>
    </w:pPr>
  </w:style>
  <w:style w:type="paragraph" w:customStyle="1" w:styleId="TH">
    <w:name w:val="TH"/>
    <w:basedOn w:val="Normal"/>
    <w:link w:val="THChar"/>
    <w:rsid w:val="007A118D"/>
    <w:pPr>
      <w:keepNext/>
      <w:keepLines/>
      <w:spacing w:before="60"/>
      <w:jc w:val="center"/>
    </w:pPr>
    <w:rPr>
      <w:rFonts w:ascii="Arial" w:hAnsi="Arial"/>
      <w:b/>
      <w:lang w:val="x-none" w:eastAsia="x-none"/>
    </w:rPr>
  </w:style>
  <w:style w:type="paragraph" w:customStyle="1" w:styleId="TF">
    <w:name w:val="TF"/>
    <w:basedOn w:val="TH"/>
    <w:link w:val="TFChar"/>
    <w:rsid w:val="007A118D"/>
    <w:pPr>
      <w:keepNext w:val="0"/>
      <w:spacing w:before="0" w:after="240"/>
    </w:pPr>
  </w:style>
  <w:style w:type="paragraph" w:customStyle="1" w:styleId="TT">
    <w:name w:val="TT"/>
    <w:basedOn w:val="Heading1"/>
    <w:next w:val="Normal"/>
    <w:rsid w:val="007A118D"/>
    <w:pPr>
      <w:outlineLvl w:val="9"/>
    </w:pPr>
  </w:style>
  <w:style w:type="paragraph" w:customStyle="1" w:styleId="ZA">
    <w:name w:val="ZA"/>
    <w:rsid w:val="007A11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A11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A118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A11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A118D"/>
  </w:style>
  <w:style w:type="paragraph" w:customStyle="1" w:styleId="ZH">
    <w:name w:val="ZH"/>
    <w:rsid w:val="007A118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A11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A118D"/>
    <w:pPr>
      <w:framePr w:hRule="auto" w:wrap="notBeside" w:y="852"/>
    </w:pPr>
    <w:rPr>
      <w:i w:val="0"/>
      <w:sz w:val="40"/>
    </w:rPr>
  </w:style>
  <w:style w:type="paragraph" w:customStyle="1" w:styleId="ZU">
    <w:name w:val="ZU"/>
    <w:rsid w:val="007A11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A118D"/>
    <w:pPr>
      <w:framePr w:wrap="notBeside" w:y="16161"/>
    </w:pPr>
  </w:style>
  <w:style w:type="paragraph" w:customStyle="1" w:styleId="FP">
    <w:name w:val="FP"/>
    <w:basedOn w:val="Normal"/>
    <w:rsid w:val="007A118D"/>
    <w:pPr>
      <w:spacing w:after="0"/>
    </w:pPr>
  </w:style>
  <w:style w:type="paragraph" w:customStyle="1" w:styleId="Observation">
    <w:name w:val="Observation"/>
    <w:basedOn w:val="Proposal"/>
    <w:qFormat/>
    <w:rsid w:val="007A118D"/>
    <w:pPr>
      <w:numPr>
        <w:numId w:val="13"/>
      </w:numPr>
      <w:ind w:left="1701" w:hanging="1701"/>
    </w:pPr>
    <w:rPr>
      <w:lang w:eastAsia="ja-JP"/>
    </w:rPr>
  </w:style>
  <w:style w:type="paragraph" w:styleId="TableofFigures">
    <w:name w:val="table of figures"/>
    <w:basedOn w:val="BodyText"/>
    <w:next w:val="Normal"/>
    <w:uiPriority w:val="99"/>
    <w:rsid w:val="007A118D"/>
    <w:pPr>
      <w:ind w:left="1701" w:hanging="1701"/>
      <w:jc w:val="left"/>
    </w:pPr>
    <w:rPr>
      <w:b/>
    </w:rPr>
  </w:style>
  <w:style w:type="character" w:customStyle="1" w:styleId="B1Char1">
    <w:name w:val="B1 Char1"/>
    <w:link w:val="B1"/>
    <w:qFormat/>
    <w:rsid w:val="007A118D"/>
    <w:rPr>
      <w:rFonts w:ascii="Times New Roman" w:hAnsi="Times New Roman"/>
      <w:lang w:eastAsia="zh-CN"/>
    </w:rPr>
  </w:style>
  <w:style w:type="character" w:customStyle="1" w:styleId="B2Char">
    <w:name w:val="B2 Char"/>
    <w:link w:val="B2"/>
    <w:qFormat/>
    <w:rsid w:val="007A118D"/>
    <w:rPr>
      <w:rFonts w:ascii="Times New Roman" w:hAnsi="Times New Roman"/>
      <w:lang w:eastAsia="ja-JP"/>
    </w:rPr>
  </w:style>
  <w:style w:type="character" w:customStyle="1" w:styleId="B3Char2">
    <w:name w:val="B3 Char2"/>
    <w:link w:val="B3"/>
    <w:qFormat/>
    <w:rsid w:val="007A118D"/>
    <w:rPr>
      <w:rFonts w:ascii="Times New Roman" w:hAnsi="Times New Roman"/>
      <w:lang w:eastAsia="ja-JP"/>
    </w:rPr>
  </w:style>
  <w:style w:type="character" w:customStyle="1" w:styleId="B4Char">
    <w:name w:val="B4 Char"/>
    <w:link w:val="B4"/>
    <w:rsid w:val="007A118D"/>
    <w:rPr>
      <w:rFonts w:ascii="Times New Roman" w:hAnsi="Times New Roman"/>
      <w:lang w:eastAsia="ja-JP"/>
    </w:rPr>
  </w:style>
  <w:style w:type="character" w:customStyle="1" w:styleId="B5Char">
    <w:name w:val="B5 Char"/>
    <w:link w:val="B5"/>
    <w:rsid w:val="007A118D"/>
    <w:rPr>
      <w:rFonts w:ascii="Times New Roman" w:hAnsi="Times New Roman"/>
      <w:lang w:eastAsia="ja-JP"/>
    </w:rPr>
  </w:style>
  <w:style w:type="paragraph" w:customStyle="1" w:styleId="B6">
    <w:name w:val="B6"/>
    <w:basedOn w:val="B5"/>
    <w:link w:val="B6Char"/>
    <w:rsid w:val="007A118D"/>
    <w:pPr>
      <w:ind w:left="1985"/>
    </w:pPr>
  </w:style>
  <w:style w:type="character" w:customStyle="1" w:styleId="B6Char">
    <w:name w:val="B6 Char"/>
    <w:link w:val="B6"/>
    <w:rsid w:val="007A118D"/>
    <w:rPr>
      <w:rFonts w:ascii="Times New Roman" w:hAnsi="Times New Roman"/>
      <w:lang w:eastAsia="ja-JP"/>
    </w:rPr>
  </w:style>
  <w:style w:type="paragraph" w:customStyle="1" w:styleId="B7">
    <w:name w:val="B7"/>
    <w:basedOn w:val="B6"/>
    <w:link w:val="B7Char"/>
    <w:rsid w:val="007A118D"/>
    <w:pPr>
      <w:ind w:left="2269"/>
    </w:pPr>
  </w:style>
  <w:style w:type="character" w:customStyle="1" w:styleId="B7Char">
    <w:name w:val="B7 Char"/>
    <w:basedOn w:val="B6Char"/>
    <w:link w:val="B7"/>
    <w:rsid w:val="007A118D"/>
    <w:rPr>
      <w:rFonts w:ascii="Times New Roman" w:hAnsi="Times New Roman"/>
      <w:lang w:eastAsia="ja-JP"/>
    </w:rPr>
  </w:style>
  <w:style w:type="paragraph" w:customStyle="1" w:styleId="B8">
    <w:name w:val="B8"/>
    <w:basedOn w:val="B7"/>
    <w:qFormat/>
    <w:rsid w:val="007A118D"/>
    <w:pPr>
      <w:ind w:left="2552"/>
    </w:pPr>
  </w:style>
  <w:style w:type="character" w:customStyle="1" w:styleId="BalloonTextChar">
    <w:name w:val="Balloon Text Char"/>
    <w:link w:val="BalloonText"/>
    <w:rsid w:val="007A118D"/>
    <w:rPr>
      <w:rFonts w:ascii="Segoe UI" w:hAnsi="Segoe UI" w:cs="Segoe UI"/>
      <w:sz w:val="18"/>
      <w:szCs w:val="18"/>
      <w:lang w:eastAsia="ja-JP"/>
    </w:rPr>
  </w:style>
  <w:style w:type="character" w:customStyle="1" w:styleId="CommentTextChar">
    <w:name w:val="Comment Text Char"/>
    <w:link w:val="CommentText"/>
    <w:uiPriority w:val="99"/>
    <w:qFormat/>
    <w:rsid w:val="007A118D"/>
    <w:rPr>
      <w:rFonts w:ascii="Times New Roman" w:hAnsi="Times New Roman"/>
      <w:lang w:eastAsia="ja-JP"/>
    </w:rPr>
  </w:style>
  <w:style w:type="character" w:customStyle="1" w:styleId="CommentSubjectChar">
    <w:name w:val="Comment Subject Char"/>
    <w:link w:val="CommentSubject"/>
    <w:rsid w:val="007A118D"/>
    <w:rPr>
      <w:rFonts w:ascii="Times New Roman" w:hAnsi="Times New Roman"/>
      <w:b/>
      <w:bCs/>
      <w:lang w:eastAsia="ja-JP"/>
    </w:rPr>
  </w:style>
  <w:style w:type="paragraph" w:customStyle="1" w:styleId="CRCoverPage">
    <w:name w:val="CR Cover Page"/>
    <w:link w:val="CRCoverPageZchn"/>
    <w:rsid w:val="007A118D"/>
    <w:pPr>
      <w:spacing w:after="120"/>
    </w:pPr>
    <w:rPr>
      <w:rFonts w:ascii="Arial" w:hAnsi="Arial"/>
      <w:lang w:eastAsia="ko-KR"/>
    </w:rPr>
  </w:style>
  <w:style w:type="character" w:customStyle="1" w:styleId="CRCoverPageZchn">
    <w:name w:val="CR Cover Page Zchn"/>
    <w:link w:val="CRCoverPage"/>
    <w:rsid w:val="007A118D"/>
    <w:rPr>
      <w:rFonts w:ascii="Arial" w:hAnsi="Arial"/>
      <w:lang w:eastAsia="ko-KR"/>
    </w:rPr>
  </w:style>
  <w:style w:type="paragraph" w:customStyle="1" w:styleId="Doc-text2">
    <w:name w:val="Doc-text2"/>
    <w:basedOn w:val="Normal"/>
    <w:link w:val="Doc-text2Char"/>
    <w:qFormat/>
    <w:rsid w:val="007A118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A118D"/>
    <w:rPr>
      <w:rFonts w:ascii="Arial" w:eastAsia="MS Mincho" w:hAnsi="Arial"/>
      <w:szCs w:val="24"/>
      <w:lang w:val="x-none" w:eastAsia="x-none"/>
    </w:rPr>
  </w:style>
  <w:style w:type="character" w:customStyle="1" w:styleId="DocumentMapChar">
    <w:name w:val="Document Map Char"/>
    <w:link w:val="DocumentMap"/>
    <w:rsid w:val="007A118D"/>
    <w:rPr>
      <w:rFonts w:ascii="Tahoma" w:hAnsi="Tahoma" w:cs="Tahoma"/>
      <w:shd w:val="clear" w:color="auto" w:fill="000080"/>
      <w:lang w:eastAsia="ja-JP"/>
    </w:rPr>
  </w:style>
  <w:style w:type="paragraph" w:customStyle="1" w:styleId="NO">
    <w:name w:val="NO"/>
    <w:basedOn w:val="Normal"/>
    <w:link w:val="NOChar"/>
    <w:rsid w:val="007A118D"/>
    <w:pPr>
      <w:keepLines/>
      <w:ind w:left="1135" w:hanging="851"/>
    </w:pPr>
  </w:style>
  <w:style w:type="character" w:customStyle="1" w:styleId="NOChar">
    <w:name w:val="NO Char"/>
    <w:link w:val="NO"/>
    <w:qFormat/>
    <w:rsid w:val="007A118D"/>
    <w:rPr>
      <w:rFonts w:ascii="Times New Roman" w:hAnsi="Times New Roman"/>
      <w:lang w:eastAsia="ja-JP"/>
    </w:rPr>
  </w:style>
  <w:style w:type="character" w:customStyle="1" w:styleId="EditorsNoteChar">
    <w:name w:val="Editor's Note Char"/>
    <w:link w:val="EditorsNote"/>
    <w:rsid w:val="007A118D"/>
    <w:rPr>
      <w:rFonts w:ascii="Times New Roman" w:hAnsi="Times New Roman"/>
      <w:color w:val="FF0000"/>
      <w:lang w:val="x-none" w:eastAsia="x-none"/>
    </w:rPr>
  </w:style>
  <w:style w:type="paragraph" w:customStyle="1" w:styleId="EmailDiscussion">
    <w:name w:val="EmailDiscussion"/>
    <w:basedOn w:val="Normal"/>
    <w:next w:val="Normal"/>
    <w:rsid w:val="007A118D"/>
    <w:pPr>
      <w:numPr>
        <w:numId w:val="14"/>
      </w:numPr>
      <w:spacing w:before="40" w:after="0"/>
    </w:pPr>
    <w:rPr>
      <w:rFonts w:ascii="Arial" w:eastAsia="MS Mincho" w:hAnsi="Arial"/>
      <w:b/>
      <w:szCs w:val="24"/>
      <w:lang w:eastAsia="en-GB"/>
    </w:rPr>
  </w:style>
  <w:style w:type="character" w:styleId="Emphasis">
    <w:name w:val="Emphasis"/>
    <w:qFormat/>
    <w:rsid w:val="007A118D"/>
    <w:rPr>
      <w:i/>
      <w:iCs/>
    </w:rPr>
  </w:style>
  <w:style w:type="paragraph" w:customStyle="1" w:styleId="FigureTitle">
    <w:name w:val="Figure_Title"/>
    <w:basedOn w:val="Normal"/>
    <w:next w:val="Normal"/>
    <w:rsid w:val="007A118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A118D"/>
    <w:rPr>
      <w:rFonts w:ascii="Arial" w:hAnsi="Arial"/>
      <w:b/>
      <w:noProof/>
      <w:sz w:val="18"/>
      <w:lang w:eastAsia="ja-JP"/>
    </w:rPr>
  </w:style>
  <w:style w:type="character" w:customStyle="1" w:styleId="FooterChar">
    <w:name w:val="Footer Char"/>
    <w:link w:val="Footer"/>
    <w:rsid w:val="007A118D"/>
    <w:rPr>
      <w:rFonts w:ascii="Arial" w:hAnsi="Arial"/>
      <w:b/>
      <w:i/>
      <w:noProof/>
      <w:sz w:val="18"/>
      <w:lang w:eastAsia="ja-JP"/>
    </w:rPr>
  </w:style>
  <w:style w:type="character" w:customStyle="1" w:styleId="FootnoteTextChar">
    <w:name w:val="Footnote Text Char"/>
    <w:link w:val="FootnoteText"/>
    <w:rsid w:val="007A118D"/>
    <w:rPr>
      <w:rFonts w:ascii="Times New Roman" w:hAnsi="Times New Roman"/>
      <w:sz w:val="16"/>
      <w:lang w:eastAsia="ja-JP"/>
    </w:rPr>
  </w:style>
  <w:style w:type="paragraph" w:customStyle="1" w:styleId="Guidance">
    <w:name w:val="Guidance"/>
    <w:basedOn w:val="Normal"/>
    <w:rsid w:val="007A118D"/>
    <w:rPr>
      <w:i/>
      <w:color w:val="0000FF"/>
    </w:rPr>
  </w:style>
  <w:style w:type="character" w:customStyle="1" w:styleId="Heading2Char">
    <w:name w:val="Heading 2 Char"/>
    <w:link w:val="Heading2"/>
    <w:rsid w:val="007A118D"/>
    <w:rPr>
      <w:rFonts w:ascii="Arial" w:hAnsi="Arial"/>
      <w:sz w:val="32"/>
      <w:lang w:eastAsia="ja-JP"/>
    </w:rPr>
  </w:style>
  <w:style w:type="character" w:customStyle="1" w:styleId="Heading3Char">
    <w:name w:val="Heading 3 Char"/>
    <w:link w:val="Heading3"/>
    <w:rsid w:val="007A118D"/>
    <w:rPr>
      <w:rFonts w:ascii="Arial" w:hAnsi="Arial"/>
      <w:sz w:val="28"/>
      <w:lang w:eastAsia="ja-JP"/>
    </w:rPr>
  </w:style>
  <w:style w:type="character" w:customStyle="1" w:styleId="Heading4Char">
    <w:name w:val="Heading 4 Char"/>
    <w:link w:val="Heading4"/>
    <w:rsid w:val="007A118D"/>
    <w:rPr>
      <w:rFonts w:ascii="Arial" w:hAnsi="Arial"/>
      <w:sz w:val="24"/>
      <w:lang w:eastAsia="ja-JP"/>
    </w:rPr>
  </w:style>
  <w:style w:type="character" w:customStyle="1" w:styleId="Heading5Char">
    <w:name w:val="Heading 5 Char"/>
    <w:link w:val="Heading5"/>
    <w:rsid w:val="007A118D"/>
    <w:rPr>
      <w:rFonts w:ascii="Arial" w:hAnsi="Arial"/>
      <w:sz w:val="22"/>
      <w:lang w:eastAsia="ja-JP"/>
    </w:rPr>
  </w:style>
  <w:style w:type="paragraph" w:customStyle="1" w:styleId="H6">
    <w:name w:val="H6"/>
    <w:basedOn w:val="Heading5"/>
    <w:next w:val="Normal"/>
    <w:rsid w:val="007A118D"/>
    <w:pPr>
      <w:ind w:left="1985" w:hanging="1985"/>
      <w:outlineLvl w:val="9"/>
    </w:pPr>
    <w:rPr>
      <w:sz w:val="20"/>
    </w:rPr>
  </w:style>
  <w:style w:type="character" w:customStyle="1" w:styleId="Heading6Char">
    <w:name w:val="Heading 6 Char"/>
    <w:link w:val="Heading6"/>
    <w:rsid w:val="007A118D"/>
    <w:rPr>
      <w:rFonts w:ascii="Arial" w:hAnsi="Arial"/>
      <w:lang w:eastAsia="ja-JP"/>
    </w:rPr>
  </w:style>
  <w:style w:type="character" w:customStyle="1" w:styleId="Heading7Char">
    <w:name w:val="Heading 7 Char"/>
    <w:link w:val="Heading7"/>
    <w:rsid w:val="007A118D"/>
    <w:rPr>
      <w:rFonts w:ascii="Arial" w:hAnsi="Arial"/>
      <w:lang w:eastAsia="ja-JP"/>
    </w:rPr>
  </w:style>
  <w:style w:type="character" w:customStyle="1" w:styleId="Heading8Char">
    <w:name w:val="Heading 8 Char"/>
    <w:link w:val="Heading8"/>
    <w:rsid w:val="007A118D"/>
    <w:rPr>
      <w:rFonts w:ascii="Arial" w:hAnsi="Arial"/>
      <w:sz w:val="36"/>
      <w:lang w:eastAsia="ja-JP"/>
    </w:rPr>
  </w:style>
  <w:style w:type="character" w:customStyle="1" w:styleId="Heading9Char">
    <w:name w:val="Heading 9 Char"/>
    <w:link w:val="Heading9"/>
    <w:rsid w:val="007A118D"/>
    <w:rPr>
      <w:rFonts w:ascii="Arial" w:hAnsi="Arial"/>
      <w:sz w:val="36"/>
      <w:lang w:eastAsia="ja-JP"/>
    </w:rPr>
  </w:style>
  <w:style w:type="character" w:styleId="HTMLCode">
    <w:name w:val="HTML Code"/>
    <w:uiPriority w:val="99"/>
    <w:unhideWhenUsed/>
    <w:rsid w:val="007A118D"/>
    <w:rPr>
      <w:rFonts w:ascii="Courier New" w:eastAsia="Times New Roman" w:hAnsi="Courier New" w:cs="Courier New"/>
      <w:sz w:val="20"/>
      <w:szCs w:val="20"/>
    </w:rPr>
  </w:style>
  <w:style w:type="paragraph" w:styleId="IndexHeading">
    <w:name w:val="index heading"/>
    <w:basedOn w:val="Normal"/>
    <w:next w:val="Normal"/>
    <w:rsid w:val="007A118D"/>
    <w:pPr>
      <w:pBdr>
        <w:top w:val="single" w:sz="12" w:space="0" w:color="auto"/>
      </w:pBdr>
      <w:spacing w:before="360" w:after="240"/>
    </w:pPr>
    <w:rPr>
      <w:b/>
      <w:i/>
      <w:sz w:val="26"/>
      <w:lang w:eastAsia="en-GB"/>
    </w:rPr>
  </w:style>
  <w:style w:type="paragraph" w:customStyle="1" w:styleId="LD">
    <w:name w:val="LD"/>
    <w:rsid w:val="007A118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7A118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7A118D"/>
    <w:rPr>
      <w:rFonts w:ascii="Calibri" w:eastAsia="Calibri" w:hAnsi="Calibri"/>
      <w:sz w:val="22"/>
      <w:szCs w:val="22"/>
      <w:lang w:val="x-none" w:eastAsia="en-US"/>
    </w:rPr>
  </w:style>
  <w:style w:type="paragraph" w:customStyle="1" w:styleId="NF">
    <w:name w:val="NF"/>
    <w:basedOn w:val="NO"/>
    <w:rsid w:val="007A118D"/>
    <w:pPr>
      <w:keepNext/>
      <w:spacing w:after="0"/>
    </w:pPr>
    <w:rPr>
      <w:rFonts w:ascii="Arial" w:hAnsi="Arial"/>
      <w:sz w:val="18"/>
    </w:rPr>
  </w:style>
  <w:style w:type="paragraph" w:customStyle="1" w:styleId="NW">
    <w:name w:val="NW"/>
    <w:basedOn w:val="NO"/>
    <w:rsid w:val="007A118D"/>
    <w:pPr>
      <w:spacing w:after="0"/>
    </w:pPr>
  </w:style>
  <w:style w:type="paragraph" w:customStyle="1" w:styleId="PL">
    <w:name w:val="PL"/>
    <w:link w:val="PLChar"/>
    <w:qFormat/>
    <w:rsid w:val="007A1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A118D"/>
    <w:rPr>
      <w:rFonts w:ascii="Courier New" w:eastAsia="Batang" w:hAnsi="Courier New"/>
      <w:noProof/>
      <w:sz w:val="16"/>
      <w:shd w:val="clear" w:color="auto" w:fill="E6E6E6"/>
      <w:lang w:eastAsia="sv-SE"/>
    </w:rPr>
  </w:style>
  <w:style w:type="paragraph" w:styleId="PlainText">
    <w:name w:val="Plain Text"/>
    <w:basedOn w:val="Normal"/>
    <w:link w:val="PlainTextChar"/>
    <w:rsid w:val="007A118D"/>
    <w:rPr>
      <w:rFonts w:ascii="Courier New" w:hAnsi="Courier New"/>
      <w:lang w:val="nb-NO"/>
    </w:rPr>
  </w:style>
  <w:style w:type="character" w:customStyle="1" w:styleId="PlainTextChar">
    <w:name w:val="Plain Text Char"/>
    <w:link w:val="PlainText"/>
    <w:rsid w:val="007A118D"/>
    <w:rPr>
      <w:rFonts w:ascii="Courier New" w:hAnsi="Courier New"/>
      <w:lang w:val="nb-NO" w:eastAsia="ja-JP"/>
    </w:rPr>
  </w:style>
  <w:style w:type="character" w:styleId="Strong">
    <w:name w:val="Strong"/>
    <w:uiPriority w:val="22"/>
    <w:qFormat/>
    <w:rsid w:val="007A118D"/>
    <w:rPr>
      <w:b/>
      <w:bCs/>
    </w:rPr>
  </w:style>
  <w:style w:type="table" w:styleId="TableGrid">
    <w:name w:val="Table Grid"/>
    <w:basedOn w:val="TableNormal"/>
    <w:uiPriority w:val="39"/>
    <w:rsid w:val="007A118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A118D"/>
    <w:rPr>
      <w:rFonts w:ascii="Arial" w:hAnsi="Arial"/>
      <w:sz w:val="18"/>
      <w:lang w:val="x-none" w:eastAsia="x-none"/>
    </w:rPr>
  </w:style>
  <w:style w:type="character" w:customStyle="1" w:styleId="TAHCar">
    <w:name w:val="TAH Car"/>
    <w:link w:val="TAH"/>
    <w:locked/>
    <w:rsid w:val="007A118D"/>
    <w:rPr>
      <w:rFonts w:ascii="Arial" w:hAnsi="Arial"/>
      <w:b/>
      <w:sz w:val="18"/>
      <w:lang w:val="x-none" w:eastAsia="x-none"/>
    </w:rPr>
  </w:style>
  <w:style w:type="character" w:customStyle="1" w:styleId="THChar">
    <w:name w:val="TH Char"/>
    <w:link w:val="TH"/>
    <w:rsid w:val="007A118D"/>
    <w:rPr>
      <w:rFonts w:ascii="Arial" w:hAnsi="Arial"/>
      <w:b/>
      <w:lang w:val="x-none" w:eastAsia="x-none"/>
    </w:rPr>
  </w:style>
  <w:style w:type="paragraph" w:customStyle="1" w:styleId="TAJ">
    <w:name w:val="TAJ"/>
    <w:basedOn w:val="TH"/>
    <w:rsid w:val="007A118D"/>
  </w:style>
  <w:style w:type="paragraph" w:customStyle="1" w:styleId="TALCharChar">
    <w:name w:val="TAL Char Char"/>
    <w:basedOn w:val="Normal"/>
    <w:link w:val="TALCharCharChar"/>
    <w:rsid w:val="007A118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A118D"/>
    <w:rPr>
      <w:rFonts w:ascii="Arial" w:eastAsia="Malgun Gothic" w:hAnsi="Arial"/>
      <w:sz w:val="18"/>
      <w:lang w:val="x-none" w:eastAsia="x-none"/>
    </w:rPr>
  </w:style>
  <w:style w:type="character" w:customStyle="1" w:styleId="TFChar">
    <w:name w:val="TF Char"/>
    <w:link w:val="TF"/>
    <w:rsid w:val="007A118D"/>
    <w:rPr>
      <w:rFonts w:ascii="Arial" w:hAnsi="Arial"/>
      <w:b/>
      <w:lang w:val="x-none" w:eastAsia="x-none"/>
    </w:rPr>
  </w:style>
  <w:style w:type="paragraph" w:styleId="ListContinue">
    <w:name w:val="List Continue"/>
    <w:basedOn w:val="Normal"/>
    <w:rsid w:val="007A118D"/>
    <w:pPr>
      <w:spacing w:after="120"/>
      <w:ind w:left="283"/>
      <w:contextualSpacing/>
    </w:pPr>
    <w:rPr>
      <w:rFonts w:ascii="Arial" w:hAnsi="Arial"/>
    </w:rPr>
  </w:style>
  <w:style w:type="paragraph" w:styleId="ListContinue2">
    <w:name w:val="List Continue 2"/>
    <w:basedOn w:val="Normal"/>
    <w:rsid w:val="007A118D"/>
    <w:pPr>
      <w:spacing w:after="120"/>
      <w:ind w:left="566"/>
      <w:contextualSpacing/>
    </w:pPr>
    <w:rPr>
      <w:rFonts w:ascii="Arial" w:hAnsi="Arial"/>
    </w:rPr>
  </w:style>
  <w:style w:type="paragraph" w:styleId="ListNumber3">
    <w:name w:val="List Number 3"/>
    <w:basedOn w:val="ListNumber2"/>
    <w:rsid w:val="007A118D"/>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DD0AA-2F82-4A35-9455-04862A16EC51}">
  <ds:schemaRefs>
    <ds:schemaRef ds:uri="http://schemas.microsoft.com/sharepoint/v3/contenttype/forms"/>
  </ds:schemaRefs>
</ds:datastoreItem>
</file>

<file path=customXml/itemProps2.xml><?xml version="1.0" encoding="utf-8"?>
<ds:datastoreItem xmlns:ds="http://schemas.openxmlformats.org/officeDocument/2006/customXml" ds:itemID="{0153929E-E6A3-4E4A-994D-14F2B154F1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EA49072-359A-4D5E-837E-D72FE1E7B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B9C1B2-04F5-4C3B-AD8E-C6A5F885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705</TotalTime>
  <Pages>8</Pages>
  <Words>3177</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20714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42</cp:revision>
  <cp:lastPrinted>2008-01-31T07:09:00Z</cp:lastPrinted>
  <dcterms:created xsi:type="dcterms:W3CDTF">2019-03-22T14:14:00Z</dcterms:created>
  <dcterms:modified xsi:type="dcterms:W3CDTF">2019-05-03T15:11:00Z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10">
    <vt:lpwstr>27</vt:lpwstr>
  </property>
  <property fmtid="{D5CDD505-2E9C-101B-9397-08002B2CF9AE}" pid="5" name="AuthorIds_UIVersion_15">
    <vt:lpwstr>27</vt:lpwstr>
  </property>
</Properties>
</file>